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5B9BD5"/>
          <w:sz w:val="26"/>
        </w:rPr>
        <w:t>GUIDE DE SYNTHÈSE</w:t>
      </w:r>
    </w:p>
    <w:p>
      <w:pPr>
        <w:jc w:val="center"/>
      </w:pPr>
      <w:r>
        <w:rPr>
          <w:b/>
          <w:color w:val="17365D"/>
          <w:sz w:val="56"/>
        </w:rPr>
        <w:t>Gouverner la performance publique</w:t>
        <w:br/>
        <w:t>à l’ère de l’intelligence artificielle</w:t>
      </w:r>
    </w:p>
    <w:p>
      <w:pPr>
        <w:jc w:val="center"/>
      </w:pPr>
      <w:r>
        <w:rPr>
          <w:color w:val="595959"/>
          <w:sz w:val="26"/>
        </w:rPr>
        <w:t>Doctrines • PAP/RAP • KPI/KRI • Preuves • Capacités ICAP® • Revue trimestrielle • IA responsable • Cas pratique</w:t>
      </w:r>
    </w:p>
    <w:p>
      <w:r>
        <w:br/>
      </w:r>
    </w:p>
    <w:p>
      <w:pPr>
        <w:jc w:val="center"/>
      </w:pPr>
      <w:r>
        <w:drawing>
          <wp:inline xmlns:a="http://schemas.openxmlformats.org/drawingml/2006/main" xmlns:pic="http://schemas.openxmlformats.org/drawingml/2006/picture">
            <wp:extent cx="5943600" cy="3512734"/>
            <wp:docPr id="1" name="Picture 1"/>
            <wp:cNvGraphicFramePr>
              <a:graphicFrameLocks noChangeAspect="1"/>
            </wp:cNvGraphicFramePr>
            <a:graphic>
              <a:graphicData uri="http://schemas.openxmlformats.org/drawingml/2006/picture">
                <pic:pic>
                  <pic:nvPicPr>
                    <pic:cNvPr id="0" name="architecture.png"/>
                    <pic:cNvPicPr/>
                  </pic:nvPicPr>
                  <pic:blipFill>
                    <a:blip r:embed="rId9"/>
                    <a:stretch>
                      <a:fillRect/>
                    </a:stretch>
                  </pic:blipFill>
                  <pic:spPr>
                    <a:xfrm>
                      <a:off x="0" y="0"/>
                      <a:ext cx="5943600" cy="3512734"/>
                    </a:xfrm>
                    <a:prstGeom prst="rect"/>
                  </pic:spPr>
                </pic:pic>
              </a:graphicData>
            </a:graphic>
          </wp:inline>
        </w:drawing>
      </w:r>
    </w:p>
    <w:p>
      <w:pPr>
        <w:pStyle w:val="Caption"/>
        <w:jc w:val="center"/>
      </w:pPr>
      <w:r>
        <w:t>Figure 1 — Vue d’ensemble du système intégré de gouvernance de la performance.</w:t>
      </w:r>
    </w:p>
    <w:p>
      <w:pPr>
        <w:jc w:val="center"/>
      </w:pPr>
      <w:r>
        <w:rPr>
          <w:i/>
          <w:sz w:val="20"/>
        </w:rPr>
        <w:t>Document pédagogique et opérationnel — Version approfondie et mise en page</w:t>
      </w:r>
    </w:p>
    <w:p>
      <w:r>
        <w:br w:type="page"/>
      </w:r>
    </w:p>
    <w:p>
      <w:pPr>
        <w:pStyle w:val="Heading1"/>
        <w:keepNext/>
      </w:pPr>
      <w:r>
        <w:t>Synthèse exécutive</w:t>
      </w:r>
    </w:p>
    <w:p>
      <w:r>
        <w:t>La performance publique ne se confond ni avec la consommation des crédits, ni avec la production d’activités, ni avec l’accumulation d’indicateurs. Elle résulte de l’alignement entre un mandat, des objectifs explicites, des ressources soutenables, des capacités réelles, des processus maîtrisés, des preuves fiables, des décisions correctrices et la valeur effectivement produite pour les citoyens.</w:t>
      </w:r>
    </w:p>
    <w:tbl>
      <w:tblPr>
        <w:tblW w:type="auto" w:w="0"/>
        <w:jc w:val="center"/>
        <w:tblLook w:firstColumn="1" w:firstRow="1" w:lastColumn="0" w:lastRow="0" w:noHBand="0" w:noVBand="1" w:val="04A0"/>
      </w:tblPr>
      <w:tblGrid>
        <w:gridCol w:w="10080"/>
      </w:tblGrid>
      <w:tr>
        <w:trPr>
          <w:cantSplit/>
        </w:trPr>
        <w:tc>
          <w:tcPr>
            <w:tcW w:type="dxa" w:w="10080"/>
            <w:shd w:fill="E2F0D9"/>
            <w:tcMar>
              <w:top w:w="140" w:type="dxa"/>
              <w:start w:w="160" w:type="dxa"/>
              <w:bottom w:w="140" w:type="dxa"/>
              <w:end w:w="160" w:type="dxa"/>
            </w:tcMar>
          </w:tcPr>
          <w:p>
            <w:r>
              <w:rPr>
                <w:b/>
                <w:color w:val="1F4E79"/>
                <w:sz w:val="21"/>
              </w:rPr>
              <w:t xml:space="preserve">Idée-force  </w:t>
            </w:r>
            <w:r>
              <w:rPr>
                <w:sz w:val="21"/>
              </w:rPr>
              <w:t>Un bon système de performance relie cinq questions : que voulons-nous changer ? avec quelles capacités ? comment savons-nous que cela change ? quels risques peuvent empêcher le résultat ? quelle décision prenons-nous lorsque les preuves contredisent les prévisions ?</w:t>
            </w:r>
          </w:p>
        </w:tc>
      </w:tr>
    </w:tbl>
    <w:p/>
    <w:p>
      <w:pPr>
        <w:pStyle w:val="ListBullet"/>
      </w:pPr>
      <w:r>
        <w:t>Le PAP formalise l’engagement ex ante ; le RAP organise la reddition de comptes ex post ; la revue trimestrielle relie les deux par le dialogue de gestion.</w:t>
      </w:r>
    </w:p>
    <w:p>
      <w:pPr>
        <w:pStyle w:val="ListBullet"/>
      </w:pPr>
      <w:r>
        <w:t>Les KPI mesurent la progression vers les résultats ; les KRI signalent l’exposition aux risques susceptibles de compromettre ces résultats.</w:t>
      </w:r>
    </w:p>
    <w:p>
      <w:pPr>
        <w:pStyle w:val="ListBullet"/>
      </w:pPr>
      <w:r>
        <w:t>La qualité de la preuve est une condition de la qualité de la décision : un indicateur sans métadonnées, source, responsable et règle de contrôle est fragile.</w:t>
      </w:r>
    </w:p>
    <w:p>
      <w:pPr>
        <w:pStyle w:val="ListBullet"/>
      </w:pPr>
      <w:r>
        <w:t>Le diagnostic capacitaire précède la contractualisation des objectifs : demander un résultat sans vérifier les capacités peut produire de la conformité fictive plutôt que de la performance.</w:t>
      </w:r>
    </w:p>
    <w:p>
      <w:pPr>
        <w:pStyle w:val="ListBullet"/>
      </w:pPr>
      <w:r>
        <w:t>L’IA peut accélérer l’analyse, la synthèse, la détection d’anomalies et la simulation ; elle ne transfère ni la responsabilité institutionnelle ni l’arbitrage de valeurs.</w:t>
      </w:r>
    </w:p>
    <w:p>
      <w:pPr>
        <w:pStyle w:val="Heading2"/>
        <w:keepNext/>
      </w:pPr>
      <w:r>
        <w:t>Objectifs pédagogiques</w:t>
      </w:r>
    </w:p>
    <w:p>
      <w:r>
        <w:t>À l’issue du guide, un cadre public doit pouvoir :</w:t>
      </w:r>
    </w:p>
    <w:p>
      <w:pPr>
        <w:ind w:left="259" w:hanging="259"/>
      </w:pPr>
      <w:r>
        <w:rPr>
          <w:b/>
        </w:rPr>
        <w:t xml:space="preserve">1. </w:t>
      </w:r>
      <w:r>
        <w:t>Distinguer les principales doctrines et modèles de performance et comprendre ce qu’ils apportent au pilotage public.</w:t>
      </w:r>
    </w:p>
    <w:p>
      <w:pPr>
        <w:ind w:left="259" w:hanging="259"/>
      </w:pPr>
      <w:r>
        <w:rPr>
          <w:b/>
        </w:rPr>
        <w:t xml:space="preserve">2. </w:t>
      </w:r>
      <w:r>
        <w:t>Relier programmation pluriannuelle, PAP, exécution, revue infra-annuelle et RAP dans une boucle unique de gouvernance.</w:t>
      </w:r>
    </w:p>
    <w:p>
      <w:pPr>
        <w:ind w:left="259" w:hanging="259"/>
      </w:pPr>
      <w:r>
        <w:rPr>
          <w:b/>
        </w:rPr>
        <w:t xml:space="preserve">3. </w:t>
      </w:r>
      <w:r>
        <w:t>Construire des KPI et KRI auditables à partir d’un dictionnaire de métadonnées.</w:t>
      </w:r>
    </w:p>
    <w:p>
      <w:pPr>
        <w:ind w:left="259" w:hanging="259"/>
      </w:pPr>
      <w:r>
        <w:rPr>
          <w:b/>
        </w:rPr>
        <w:t xml:space="preserve">4. </w:t>
      </w:r>
      <w:r>
        <w:t>Évaluer la maturité des capacités organisationnelles avant de fixer ou renégocier les objectifs.</w:t>
      </w:r>
    </w:p>
    <w:p>
      <w:pPr>
        <w:ind w:left="259" w:hanging="259"/>
      </w:pPr>
      <w:r>
        <w:rPr>
          <w:b/>
        </w:rPr>
        <w:t xml:space="preserve">5. </w:t>
      </w:r>
      <w:r>
        <w:t>Conduire une revue trimestrielle orientée vers les causes, les arbitrages et les engagements vérifiables.</w:t>
      </w:r>
    </w:p>
    <w:p>
      <w:pPr>
        <w:ind w:left="259" w:hanging="259"/>
      </w:pPr>
      <w:r>
        <w:rPr>
          <w:b/>
        </w:rPr>
        <w:t xml:space="preserve">6. </w:t>
      </w:r>
      <w:r>
        <w:t>Utiliser l’IA comme capacité d’augmentation tout en maintenant une traçabilité et une validation humaine explicites.</w:t>
      </w:r>
    </w:p>
    <w:p>
      <w:pPr>
        <w:pStyle w:val="Heading2"/>
        <w:keepNext/>
      </w:pPr>
      <w:r>
        <w:t>Mode d’emploi du guide</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024"/>
            <w:shd w:fill="17365D"/>
            <w:vAlign w:val="center"/>
            <w:tcMar>
              <w:top w:w="120" w:type="dxa"/>
              <w:start w:w="110" w:type="dxa"/>
              <w:bottom w:w="120" w:type="dxa"/>
              <w:end w:w="110" w:type="dxa"/>
            </w:tcMar>
          </w:tcPr>
          <w:p>
            <w:pPr>
              <w:jc w:val="center"/>
            </w:pPr>
            <w:r>
              <w:rPr>
                <w:b/>
                <w:color w:val="FFFFFF"/>
                <w:sz w:val="18"/>
              </w:rPr>
              <w:t>Besoin</w:t>
            </w:r>
          </w:p>
        </w:tc>
        <w:tc>
          <w:tcPr>
            <w:tcW w:type="dxa" w:w="3744"/>
            <w:shd w:fill="17365D"/>
            <w:vAlign w:val="center"/>
            <w:tcMar>
              <w:top w:w="120" w:type="dxa"/>
              <w:start w:w="110" w:type="dxa"/>
              <w:bottom w:w="120" w:type="dxa"/>
              <w:end w:w="110" w:type="dxa"/>
            </w:tcMar>
          </w:tcPr>
          <w:p>
            <w:pPr>
              <w:jc w:val="center"/>
            </w:pPr>
            <w:r>
              <w:rPr>
                <w:b/>
                <w:color w:val="FFFFFF"/>
                <w:sz w:val="18"/>
              </w:rPr>
              <w:t>Entrée recommandée</w:t>
            </w:r>
          </w:p>
        </w:tc>
        <w:tc>
          <w:tcPr>
            <w:tcW w:type="dxa" w:w="3312"/>
            <w:shd w:fill="17365D"/>
            <w:vAlign w:val="center"/>
            <w:tcMar>
              <w:top w:w="120" w:type="dxa"/>
              <w:start w:w="110" w:type="dxa"/>
              <w:bottom w:w="120" w:type="dxa"/>
              <w:end w:w="110" w:type="dxa"/>
            </w:tcMar>
          </w:tcPr>
          <w:p>
            <w:pPr>
              <w:jc w:val="center"/>
            </w:pPr>
            <w:r>
              <w:rPr>
                <w:b/>
                <w:color w:val="FFFFFF"/>
                <w:sz w:val="18"/>
              </w:rPr>
              <w:t>Livrable attendu</w:t>
            </w:r>
          </w:p>
        </w:tc>
      </w:tr>
      <w:tr>
        <w:tc>
          <w:tcPr>
            <w:tcW w:type="dxa" w:w="3024"/>
            <w:vAlign w:val="center"/>
            <w:tcMar>
              <w:top w:w="100" w:type="dxa"/>
              <w:start w:w="100" w:type="dxa"/>
              <w:bottom w:w="100" w:type="dxa"/>
              <w:end w:w="100" w:type="dxa"/>
            </w:tcMar>
          </w:tcPr>
          <w:p>
            <w:pPr>
              <w:spacing w:after="0"/>
            </w:pPr>
            <w:r>
              <w:rPr>
                <w:rFonts w:ascii="Aptos" w:hAnsi="Aptos"/>
                <w:sz w:val="18"/>
              </w:rPr>
              <w:t>Comprendre le cadre</w:t>
            </w:r>
          </w:p>
        </w:tc>
        <w:tc>
          <w:tcPr>
            <w:tcW w:type="dxa" w:w="3744"/>
            <w:vAlign w:val="center"/>
            <w:tcMar>
              <w:top w:w="100" w:type="dxa"/>
              <w:start w:w="100" w:type="dxa"/>
              <w:bottom w:w="100" w:type="dxa"/>
              <w:end w:w="100" w:type="dxa"/>
            </w:tcMar>
          </w:tcPr>
          <w:p>
            <w:pPr>
              <w:spacing w:after="0"/>
            </w:pPr>
            <w:r>
              <w:rPr>
                <w:rFonts w:ascii="Aptos" w:hAnsi="Aptos"/>
                <w:sz w:val="18"/>
              </w:rPr>
              <w:t>Sections 1 et 2</w:t>
            </w:r>
          </w:p>
        </w:tc>
        <w:tc>
          <w:tcPr>
            <w:tcW w:type="dxa" w:w="3312"/>
            <w:vAlign w:val="center"/>
            <w:tcMar>
              <w:top w:w="100" w:type="dxa"/>
              <w:start w:w="100" w:type="dxa"/>
              <w:bottom w:w="100" w:type="dxa"/>
              <w:end w:w="100" w:type="dxa"/>
            </w:tcMar>
          </w:tcPr>
          <w:p>
            <w:pPr>
              <w:spacing w:after="0"/>
            </w:pPr>
            <w:r>
              <w:rPr>
                <w:rFonts w:ascii="Aptos" w:hAnsi="Aptos"/>
                <w:sz w:val="18"/>
              </w:rPr>
              <w:t>Carte conceptuelle + cycle de performance</w:t>
            </w:r>
          </w:p>
        </w:tc>
      </w:tr>
      <w:tr>
        <w:tc>
          <w:tcPr>
            <w:tcW w:type="dxa" w:w="3024"/>
            <w:vAlign w:val="center"/>
            <w:tcMar>
              <w:top w:w="100" w:type="dxa"/>
              <w:start w:w="100" w:type="dxa"/>
              <w:bottom w:w="100" w:type="dxa"/>
              <w:end w:w="100" w:type="dxa"/>
            </w:tcMar>
          </w:tcPr>
          <w:p>
            <w:pPr>
              <w:spacing w:after="0"/>
            </w:pPr>
            <w:r>
              <w:rPr>
                <w:rFonts w:ascii="Aptos" w:hAnsi="Aptos"/>
                <w:sz w:val="18"/>
              </w:rPr>
              <w:t>Préparer un PAP/RAP</w:t>
            </w:r>
          </w:p>
        </w:tc>
        <w:tc>
          <w:tcPr>
            <w:tcW w:type="dxa" w:w="3744"/>
            <w:vAlign w:val="center"/>
            <w:tcMar>
              <w:top w:w="100" w:type="dxa"/>
              <w:start w:w="100" w:type="dxa"/>
              <w:bottom w:w="100" w:type="dxa"/>
              <w:end w:w="100" w:type="dxa"/>
            </w:tcMar>
          </w:tcPr>
          <w:p>
            <w:pPr>
              <w:spacing w:after="0"/>
            </w:pPr>
            <w:r>
              <w:rPr>
                <w:rFonts w:ascii="Aptos" w:hAnsi="Aptos"/>
                <w:sz w:val="18"/>
              </w:rPr>
              <w:t>Sections 2 et 3</w:t>
            </w:r>
          </w:p>
        </w:tc>
        <w:tc>
          <w:tcPr>
            <w:tcW w:type="dxa" w:w="3312"/>
            <w:vAlign w:val="center"/>
            <w:tcMar>
              <w:top w:w="100" w:type="dxa"/>
              <w:start w:w="100" w:type="dxa"/>
              <w:bottom w:w="100" w:type="dxa"/>
              <w:end w:w="100" w:type="dxa"/>
            </w:tcMar>
          </w:tcPr>
          <w:p>
            <w:pPr>
              <w:spacing w:after="0"/>
            </w:pPr>
            <w:r>
              <w:rPr>
                <w:rFonts w:ascii="Aptos" w:hAnsi="Aptos"/>
                <w:sz w:val="18"/>
              </w:rPr>
              <w:t>Canevas, KPI, sources et cibles</w:t>
            </w:r>
          </w:p>
        </w:tc>
      </w:tr>
      <w:tr>
        <w:tc>
          <w:tcPr>
            <w:tcW w:type="dxa" w:w="3024"/>
            <w:vAlign w:val="center"/>
            <w:tcMar>
              <w:top w:w="100" w:type="dxa"/>
              <w:start w:w="100" w:type="dxa"/>
              <w:bottom w:w="100" w:type="dxa"/>
              <w:end w:w="100" w:type="dxa"/>
            </w:tcMar>
          </w:tcPr>
          <w:p>
            <w:pPr>
              <w:spacing w:after="0"/>
            </w:pPr>
            <w:r>
              <w:rPr>
                <w:rFonts w:ascii="Aptos" w:hAnsi="Aptos"/>
                <w:sz w:val="18"/>
              </w:rPr>
              <w:t>Fiabiliser le reporting</w:t>
            </w:r>
          </w:p>
        </w:tc>
        <w:tc>
          <w:tcPr>
            <w:tcW w:type="dxa" w:w="3744"/>
            <w:vAlign w:val="center"/>
            <w:tcMar>
              <w:top w:w="100" w:type="dxa"/>
              <w:start w:w="100" w:type="dxa"/>
              <w:bottom w:w="100" w:type="dxa"/>
              <w:end w:w="100" w:type="dxa"/>
            </w:tcMar>
          </w:tcPr>
          <w:p>
            <w:pPr>
              <w:spacing w:after="0"/>
            </w:pPr>
            <w:r>
              <w:rPr>
                <w:rFonts w:ascii="Aptos" w:hAnsi="Aptos"/>
                <w:sz w:val="18"/>
              </w:rPr>
              <w:t>Section 4</w:t>
            </w:r>
          </w:p>
        </w:tc>
        <w:tc>
          <w:tcPr>
            <w:tcW w:type="dxa" w:w="3312"/>
            <w:vAlign w:val="center"/>
            <w:tcMar>
              <w:top w:w="100" w:type="dxa"/>
              <w:start w:w="100" w:type="dxa"/>
              <w:bottom w:w="100" w:type="dxa"/>
              <w:end w:w="100" w:type="dxa"/>
            </w:tcMar>
          </w:tcPr>
          <w:p>
            <w:pPr>
              <w:spacing w:after="0"/>
            </w:pPr>
            <w:r>
              <w:rPr>
                <w:rFonts w:ascii="Aptos" w:hAnsi="Aptos"/>
                <w:sz w:val="18"/>
              </w:rPr>
              <w:t>Dictionnaire KPI/KRI + hiérarchie des preuves</w:t>
            </w:r>
          </w:p>
        </w:tc>
      </w:tr>
      <w:tr>
        <w:tc>
          <w:tcPr>
            <w:tcW w:type="dxa" w:w="3024"/>
            <w:vAlign w:val="center"/>
            <w:tcMar>
              <w:top w:w="100" w:type="dxa"/>
              <w:start w:w="100" w:type="dxa"/>
              <w:bottom w:w="100" w:type="dxa"/>
              <w:end w:w="100" w:type="dxa"/>
            </w:tcMar>
          </w:tcPr>
          <w:p>
            <w:pPr>
              <w:spacing w:after="0"/>
            </w:pPr>
            <w:r>
              <w:rPr>
                <w:rFonts w:ascii="Aptos" w:hAnsi="Aptos"/>
                <w:sz w:val="18"/>
              </w:rPr>
              <w:t>Diagnostiquer la capacité</w:t>
            </w:r>
          </w:p>
        </w:tc>
        <w:tc>
          <w:tcPr>
            <w:tcW w:type="dxa" w:w="3744"/>
            <w:vAlign w:val="center"/>
            <w:tcMar>
              <w:top w:w="100" w:type="dxa"/>
              <w:start w:w="100" w:type="dxa"/>
              <w:bottom w:w="100" w:type="dxa"/>
              <w:end w:w="100" w:type="dxa"/>
            </w:tcMar>
          </w:tcPr>
          <w:p>
            <w:pPr>
              <w:spacing w:after="0"/>
            </w:pPr>
            <w:r>
              <w:rPr>
                <w:rFonts w:ascii="Aptos" w:hAnsi="Aptos"/>
                <w:sz w:val="18"/>
              </w:rPr>
              <w:t>Section 5</w:t>
            </w:r>
          </w:p>
        </w:tc>
        <w:tc>
          <w:tcPr>
            <w:tcW w:type="dxa" w:w="3312"/>
            <w:vAlign w:val="center"/>
            <w:tcMar>
              <w:top w:w="100" w:type="dxa"/>
              <w:start w:w="100" w:type="dxa"/>
              <w:bottom w:w="100" w:type="dxa"/>
              <w:end w:w="100" w:type="dxa"/>
            </w:tcMar>
          </w:tcPr>
          <w:p>
            <w:pPr>
              <w:spacing w:after="0"/>
            </w:pPr>
            <w:r>
              <w:rPr>
                <w:rFonts w:ascii="Aptos" w:hAnsi="Aptos"/>
                <w:sz w:val="18"/>
              </w:rPr>
              <w:t>Profil ICAP® + priorités de renforcement</w:t>
            </w:r>
          </w:p>
        </w:tc>
      </w:tr>
      <w:tr>
        <w:tc>
          <w:tcPr>
            <w:tcW w:type="dxa" w:w="3024"/>
            <w:vAlign w:val="center"/>
            <w:tcMar>
              <w:top w:w="100" w:type="dxa"/>
              <w:start w:w="100" w:type="dxa"/>
              <w:bottom w:w="100" w:type="dxa"/>
              <w:end w:w="100" w:type="dxa"/>
            </w:tcMar>
          </w:tcPr>
          <w:p>
            <w:pPr>
              <w:spacing w:after="0"/>
            </w:pPr>
            <w:r>
              <w:rPr>
                <w:rFonts w:ascii="Aptos" w:hAnsi="Aptos"/>
                <w:sz w:val="18"/>
              </w:rPr>
              <w:t>Animer une revue</w:t>
            </w:r>
          </w:p>
        </w:tc>
        <w:tc>
          <w:tcPr>
            <w:tcW w:type="dxa" w:w="3744"/>
            <w:vAlign w:val="center"/>
            <w:tcMar>
              <w:top w:w="100" w:type="dxa"/>
              <w:start w:w="100" w:type="dxa"/>
              <w:bottom w:w="100" w:type="dxa"/>
              <w:end w:w="100" w:type="dxa"/>
            </w:tcMar>
          </w:tcPr>
          <w:p>
            <w:pPr>
              <w:spacing w:after="0"/>
            </w:pPr>
            <w:r>
              <w:rPr>
                <w:rFonts w:ascii="Aptos" w:hAnsi="Aptos"/>
                <w:sz w:val="18"/>
              </w:rPr>
              <w:t>Section 6</w:t>
            </w:r>
          </w:p>
        </w:tc>
        <w:tc>
          <w:tcPr>
            <w:tcW w:type="dxa" w:w="3312"/>
            <w:vAlign w:val="center"/>
            <w:tcMar>
              <w:top w:w="100" w:type="dxa"/>
              <w:start w:w="100" w:type="dxa"/>
              <w:bottom w:w="100" w:type="dxa"/>
              <w:end w:w="100" w:type="dxa"/>
            </w:tcMar>
          </w:tcPr>
          <w:p>
            <w:pPr>
              <w:spacing w:after="0"/>
            </w:pPr>
            <w:r>
              <w:rPr>
                <w:rFonts w:ascii="Aptos" w:hAnsi="Aptos"/>
                <w:sz w:val="18"/>
              </w:rPr>
              <w:t>Scorecard, analyse causale, registre de décisions</w:t>
            </w:r>
          </w:p>
        </w:tc>
      </w:tr>
      <w:tr>
        <w:tc>
          <w:tcPr>
            <w:tcW w:type="dxa" w:w="3024"/>
            <w:vAlign w:val="center"/>
            <w:tcMar>
              <w:top w:w="100" w:type="dxa"/>
              <w:start w:w="100" w:type="dxa"/>
              <w:bottom w:w="100" w:type="dxa"/>
              <w:end w:w="100" w:type="dxa"/>
            </w:tcMar>
          </w:tcPr>
          <w:p>
            <w:pPr>
              <w:spacing w:after="0"/>
            </w:pPr>
            <w:r>
              <w:rPr>
                <w:rFonts w:ascii="Aptos" w:hAnsi="Aptos"/>
                <w:sz w:val="18"/>
              </w:rPr>
              <w:t>Encadrer l’IA</w:t>
            </w:r>
          </w:p>
        </w:tc>
        <w:tc>
          <w:tcPr>
            <w:tcW w:type="dxa" w:w="3744"/>
            <w:vAlign w:val="center"/>
            <w:tcMar>
              <w:top w:w="100" w:type="dxa"/>
              <w:start w:w="100" w:type="dxa"/>
              <w:bottom w:w="100" w:type="dxa"/>
              <w:end w:w="100" w:type="dxa"/>
            </w:tcMar>
          </w:tcPr>
          <w:p>
            <w:pPr>
              <w:spacing w:after="0"/>
            </w:pPr>
            <w:r>
              <w:rPr>
                <w:rFonts w:ascii="Aptos" w:hAnsi="Aptos"/>
                <w:sz w:val="18"/>
              </w:rPr>
              <w:t>Section 7</w:t>
            </w:r>
          </w:p>
        </w:tc>
        <w:tc>
          <w:tcPr>
            <w:tcW w:type="dxa" w:w="3312"/>
            <w:vAlign w:val="center"/>
            <w:tcMar>
              <w:top w:w="100" w:type="dxa"/>
              <w:start w:w="100" w:type="dxa"/>
              <w:bottom w:w="100" w:type="dxa"/>
              <w:end w:w="100" w:type="dxa"/>
            </w:tcMar>
          </w:tcPr>
          <w:p>
            <w:pPr>
              <w:spacing w:after="0"/>
            </w:pPr>
            <w:r>
              <w:rPr>
                <w:rFonts w:ascii="Aptos" w:hAnsi="Aptos"/>
                <w:sz w:val="18"/>
              </w:rPr>
              <w:t>Matrice de délégation + journal IA</w:t>
            </w:r>
          </w:p>
        </w:tc>
      </w:tr>
      <w:tr>
        <w:tc>
          <w:tcPr>
            <w:tcW w:type="dxa" w:w="3024"/>
            <w:vAlign w:val="center"/>
            <w:tcMar>
              <w:top w:w="100" w:type="dxa"/>
              <w:start w:w="100" w:type="dxa"/>
              <w:bottom w:w="100" w:type="dxa"/>
              <w:end w:w="100" w:type="dxa"/>
            </w:tcMar>
          </w:tcPr>
          <w:p>
            <w:pPr>
              <w:spacing w:after="0"/>
            </w:pPr>
            <w:r>
              <w:rPr>
                <w:rFonts w:ascii="Aptos" w:hAnsi="Aptos"/>
                <w:sz w:val="18"/>
              </w:rPr>
              <w:t>Former par la pratique</w:t>
            </w:r>
          </w:p>
        </w:tc>
        <w:tc>
          <w:tcPr>
            <w:tcW w:type="dxa" w:w="3744"/>
            <w:vAlign w:val="center"/>
            <w:tcMar>
              <w:top w:w="100" w:type="dxa"/>
              <w:start w:w="100" w:type="dxa"/>
              <w:bottom w:w="100" w:type="dxa"/>
              <w:end w:w="100" w:type="dxa"/>
            </w:tcMar>
          </w:tcPr>
          <w:p>
            <w:pPr>
              <w:spacing w:after="0"/>
            </w:pPr>
            <w:r>
              <w:rPr>
                <w:rFonts w:ascii="Aptos" w:hAnsi="Aptos"/>
                <w:sz w:val="18"/>
              </w:rPr>
              <w:t>Section 8</w:t>
            </w:r>
          </w:p>
        </w:tc>
        <w:tc>
          <w:tcPr>
            <w:tcW w:type="dxa" w:w="3312"/>
            <w:vAlign w:val="center"/>
            <w:tcMar>
              <w:top w:w="100" w:type="dxa"/>
              <w:start w:w="100" w:type="dxa"/>
              <w:bottom w:w="100" w:type="dxa"/>
              <w:end w:w="100" w:type="dxa"/>
            </w:tcMar>
          </w:tcPr>
          <w:p>
            <w:pPr>
              <w:spacing w:after="0"/>
            </w:pPr>
            <w:r>
              <w:rPr>
                <w:rFonts w:ascii="Aptos" w:hAnsi="Aptos"/>
                <w:sz w:val="18"/>
              </w:rPr>
              <w:t>Simulation complète de comité de performance</w:t>
            </w:r>
          </w:p>
        </w:tc>
      </w:tr>
    </w:tbl>
    <w:p/>
    <w:p>
      <w:r>
        <w:br w:type="page"/>
      </w:r>
    </w:p>
    <w:p>
      <w:pPr>
        <w:pStyle w:val="Heading1"/>
        <w:keepNext/>
      </w:pPr>
      <w:r>
        <w:t>1. Cadre doctrinal et architecture institutionnelle de la performance publique</w:t>
      </w:r>
    </w:p>
    <w:p>
      <w:r>
        <w:t>La performance publique constitue un système intégré de gouvernance. Elle relie le mandat institutionnel, la programmation des ressources, les capacités organisationnelles, la gestion des risques, la production de preuves, les revues de performance, l’arbitrage et la création de valeur publique. Une administration peut exécuter presque tout son budget et réaliser toutes les activités prévues sans résoudre le problème public qui justifiait son action.</w:t>
      </w:r>
    </w:p>
    <w:tbl>
      <w:tblPr>
        <w:tblW w:type="auto" w:w="0"/>
        <w:jc w:val="center"/>
        <w:tblLook w:firstColumn="1" w:firstRow="1" w:lastColumn="0" w:lastRow="0" w:noHBand="0" w:noVBand="1" w:val="04A0"/>
      </w:tblPr>
      <w:tblGrid>
        <w:gridCol w:w="10080"/>
      </w:tblGrid>
      <w:tr>
        <w:trPr>
          <w:cantSplit/>
        </w:trPr>
        <w:tc>
          <w:tcPr>
            <w:tcW w:type="dxa" w:w="10080"/>
            <w:shd w:fill="FFF2CC"/>
            <w:tcMar>
              <w:top w:w="140" w:type="dxa"/>
              <w:start w:w="160" w:type="dxa"/>
              <w:bottom w:w="140" w:type="dxa"/>
              <w:end w:w="160" w:type="dxa"/>
            </w:tcMar>
          </w:tcPr>
          <w:p>
            <w:r>
              <w:rPr>
                <w:b/>
                <w:color w:val="1F4E79"/>
                <w:sz w:val="21"/>
              </w:rPr>
              <w:t xml:space="preserve">Vigilance  </w:t>
            </w:r>
            <w:r>
              <w:rPr>
                <w:sz w:val="21"/>
              </w:rPr>
              <w:t>Ne jamais utiliser le taux d’exécution budgétaire comme substitut d’un indicateur de résultat. Il renseigne sur la consommation des crédits, pas sur la transformation obtenue.</w:t>
            </w:r>
          </w:p>
        </w:tc>
      </w:tr>
    </w:tbl>
    <w:p/>
    <w:tbl>
      <w:tblPr>
        <w:tblStyle w:val="TableGrid"/>
        <w:tblW w:type="auto" w:w="0"/>
        <w:jc w:val="center"/>
        <w:tblLook w:firstColumn="1" w:firstRow="1" w:lastColumn="0" w:lastRow="0" w:noHBand="0" w:noVBand="1" w:val="04A0"/>
      </w:tblPr>
      <w:tblGrid>
        <w:gridCol w:w="2016"/>
        <w:gridCol w:w="2016"/>
        <w:gridCol w:w="2016"/>
        <w:gridCol w:w="2016"/>
        <w:gridCol w:w="2016"/>
      </w:tblGrid>
      <w:tr>
        <w:trPr>
          <w:tblHeader w:val="true"/>
        </w:trPr>
        <w:tc>
          <w:tcPr>
            <w:tcW w:type="dxa" w:w="1800"/>
            <w:shd w:fill="17365D"/>
            <w:vAlign w:val="center"/>
            <w:tcMar>
              <w:top w:w="120" w:type="dxa"/>
              <w:start w:w="110" w:type="dxa"/>
              <w:bottom w:w="120" w:type="dxa"/>
              <w:end w:w="110" w:type="dxa"/>
            </w:tcMar>
          </w:tcPr>
          <w:p>
            <w:pPr>
              <w:jc w:val="center"/>
            </w:pPr>
            <w:r>
              <w:rPr>
                <w:b/>
                <w:color w:val="FFFFFF"/>
                <w:sz w:val="14"/>
              </w:rPr>
              <w:t>Doctrine / cadre</w:t>
            </w:r>
          </w:p>
        </w:tc>
        <w:tc>
          <w:tcPr>
            <w:tcW w:type="dxa" w:w="1944"/>
            <w:shd w:fill="17365D"/>
            <w:vAlign w:val="center"/>
            <w:tcMar>
              <w:top w:w="120" w:type="dxa"/>
              <w:start w:w="110" w:type="dxa"/>
              <w:bottom w:w="120" w:type="dxa"/>
              <w:end w:w="110" w:type="dxa"/>
            </w:tcMar>
          </w:tcPr>
          <w:p>
            <w:pPr>
              <w:jc w:val="center"/>
            </w:pPr>
            <w:r>
              <w:rPr>
                <w:b/>
                <w:color w:val="FFFFFF"/>
                <w:sz w:val="14"/>
              </w:rPr>
              <w:t>Finalité</w:t>
            </w:r>
          </w:p>
        </w:tc>
        <w:tc>
          <w:tcPr>
            <w:tcW w:type="dxa" w:w="2232"/>
            <w:shd w:fill="17365D"/>
            <w:vAlign w:val="center"/>
            <w:tcMar>
              <w:top w:w="120" w:type="dxa"/>
              <w:start w:w="110" w:type="dxa"/>
              <w:bottom w:w="120" w:type="dxa"/>
              <w:end w:w="110" w:type="dxa"/>
            </w:tcMar>
          </w:tcPr>
          <w:p>
            <w:pPr>
              <w:jc w:val="center"/>
            </w:pPr>
            <w:r>
              <w:rPr>
                <w:b/>
                <w:color w:val="FFFFFF"/>
                <w:sz w:val="14"/>
              </w:rPr>
              <w:t>Apport</w:t>
            </w:r>
          </w:p>
        </w:tc>
        <w:tc>
          <w:tcPr>
            <w:tcW w:type="dxa" w:w="2016"/>
            <w:shd w:fill="17365D"/>
            <w:vAlign w:val="center"/>
            <w:tcMar>
              <w:top w:w="120" w:type="dxa"/>
              <w:start w:w="110" w:type="dxa"/>
              <w:bottom w:w="120" w:type="dxa"/>
              <w:end w:w="110" w:type="dxa"/>
            </w:tcMar>
          </w:tcPr>
          <w:p>
            <w:pPr>
              <w:jc w:val="center"/>
            </w:pPr>
            <w:r>
              <w:rPr>
                <w:b/>
                <w:color w:val="FFFFFF"/>
                <w:sz w:val="14"/>
              </w:rPr>
              <w:t>Limite à surveiller</w:t>
            </w:r>
          </w:p>
        </w:tc>
        <w:tc>
          <w:tcPr>
            <w:tcW w:type="dxa" w:w="2304"/>
            <w:shd w:fill="17365D"/>
            <w:vAlign w:val="center"/>
            <w:tcMar>
              <w:top w:w="120" w:type="dxa"/>
              <w:start w:w="110" w:type="dxa"/>
              <w:bottom w:w="120" w:type="dxa"/>
              <w:end w:w="110" w:type="dxa"/>
            </w:tcMar>
          </w:tcPr>
          <w:p>
            <w:pPr>
              <w:jc w:val="center"/>
            </w:pPr>
            <w:r>
              <w:rPr>
                <w:b/>
                <w:color w:val="FFFFFF"/>
                <w:sz w:val="14"/>
              </w:rPr>
              <w:t>À l’ère de l’IA</w:t>
            </w:r>
          </w:p>
        </w:tc>
      </w:tr>
      <w:tr>
        <w:tc>
          <w:tcPr>
            <w:tcW w:type="dxa" w:w="1800"/>
            <w:vAlign w:val="center"/>
            <w:tcMar>
              <w:top w:w="100" w:type="dxa"/>
              <w:start w:w="100" w:type="dxa"/>
              <w:bottom w:w="100" w:type="dxa"/>
              <w:end w:w="100" w:type="dxa"/>
            </w:tcMar>
          </w:tcPr>
          <w:p>
            <w:pPr>
              <w:spacing w:after="0"/>
            </w:pPr>
            <w:r>
              <w:rPr>
                <w:rFonts w:ascii="Aptos" w:hAnsi="Aptos"/>
                <w:sz w:val="14"/>
              </w:rPr>
              <w:t>MBO — Drucker</w:t>
            </w:r>
          </w:p>
        </w:tc>
        <w:tc>
          <w:tcPr>
            <w:tcW w:type="dxa" w:w="1944"/>
            <w:vAlign w:val="center"/>
            <w:tcMar>
              <w:top w:w="100" w:type="dxa"/>
              <w:start w:w="100" w:type="dxa"/>
              <w:bottom w:w="100" w:type="dxa"/>
              <w:end w:w="100" w:type="dxa"/>
            </w:tcMar>
          </w:tcPr>
          <w:p>
            <w:pPr>
              <w:spacing w:after="0"/>
            </w:pPr>
            <w:r>
              <w:rPr>
                <w:rFonts w:ascii="Aptos" w:hAnsi="Aptos"/>
                <w:sz w:val="14"/>
              </w:rPr>
              <w:t>Clarifier les objectifs et responsabiliser les cadres.</w:t>
            </w:r>
          </w:p>
        </w:tc>
        <w:tc>
          <w:tcPr>
            <w:tcW w:type="dxa" w:w="2232"/>
            <w:vAlign w:val="center"/>
            <w:tcMar>
              <w:top w:w="100" w:type="dxa"/>
              <w:start w:w="100" w:type="dxa"/>
              <w:bottom w:w="100" w:type="dxa"/>
              <w:end w:w="100" w:type="dxa"/>
            </w:tcMar>
          </w:tcPr>
          <w:p>
            <w:pPr>
              <w:spacing w:after="0"/>
            </w:pPr>
            <w:r>
              <w:rPr>
                <w:rFonts w:ascii="Aptos" w:hAnsi="Aptos"/>
                <w:sz w:val="14"/>
              </w:rPr>
              <w:t>Déplace l’attention des moyens vers les résultats.</w:t>
            </w:r>
          </w:p>
        </w:tc>
        <w:tc>
          <w:tcPr>
            <w:tcW w:type="dxa" w:w="2016"/>
            <w:vAlign w:val="center"/>
            <w:tcMar>
              <w:top w:w="100" w:type="dxa"/>
              <w:start w:w="100" w:type="dxa"/>
              <w:bottom w:w="100" w:type="dxa"/>
              <w:end w:w="100" w:type="dxa"/>
            </w:tcMar>
          </w:tcPr>
          <w:p>
            <w:pPr>
              <w:spacing w:after="0"/>
            </w:pPr>
            <w:r>
              <w:rPr>
                <w:rFonts w:ascii="Aptos" w:hAnsi="Aptos"/>
                <w:sz w:val="14"/>
              </w:rPr>
              <w:t>Risque d’objectifs chiffrés de court terme.</w:t>
            </w:r>
          </w:p>
        </w:tc>
        <w:tc>
          <w:tcPr>
            <w:tcW w:type="dxa" w:w="2304"/>
            <w:vAlign w:val="center"/>
            <w:tcMar>
              <w:top w:w="100" w:type="dxa"/>
              <w:start w:w="100" w:type="dxa"/>
              <w:bottom w:w="100" w:type="dxa"/>
              <w:end w:w="100" w:type="dxa"/>
            </w:tcMar>
          </w:tcPr>
          <w:p>
            <w:pPr>
              <w:spacing w:after="0"/>
            </w:pPr>
            <w:r>
              <w:rPr>
                <w:rFonts w:ascii="Aptos" w:hAnsi="Aptos"/>
                <w:sz w:val="14"/>
              </w:rPr>
              <w:t>L’IA aide à décliner les objectifs ; elle ne fixe pas seule les priorités.</w:t>
            </w:r>
          </w:p>
        </w:tc>
      </w:tr>
      <w:tr>
        <w:tc>
          <w:tcPr>
            <w:tcW w:type="dxa" w:w="1800"/>
            <w:vAlign w:val="center"/>
            <w:tcMar>
              <w:top w:w="100" w:type="dxa"/>
              <w:start w:w="100" w:type="dxa"/>
              <w:bottom w:w="100" w:type="dxa"/>
              <w:end w:w="100" w:type="dxa"/>
            </w:tcMar>
          </w:tcPr>
          <w:p>
            <w:pPr>
              <w:spacing w:after="0"/>
            </w:pPr>
            <w:r>
              <w:rPr>
                <w:rFonts w:ascii="Aptos" w:hAnsi="Aptos"/>
                <w:sz w:val="14"/>
              </w:rPr>
              <w:t>PDCA — Deming</w:t>
            </w:r>
          </w:p>
        </w:tc>
        <w:tc>
          <w:tcPr>
            <w:tcW w:type="dxa" w:w="1944"/>
            <w:vAlign w:val="center"/>
            <w:tcMar>
              <w:top w:w="100" w:type="dxa"/>
              <w:start w:w="100" w:type="dxa"/>
              <w:bottom w:w="100" w:type="dxa"/>
              <w:end w:w="100" w:type="dxa"/>
            </w:tcMar>
          </w:tcPr>
          <w:p>
            <w:pPr>
              <w:spacing w:after="0"/>
            </w:pPr>
            <w:r>
              <w:rPr>
                <w:rFonts w:ascii="Aptos" w:hAnsi="Aptos"/>
                <w:sz w:val="14"/>
              </w:rPr>
              <w:t>Installer une boucle d’amélioration continue.</w:t>
            </w:r>
          </w:p>
        </w:tc>
        <w:tc>
          <w:tcPr>
            <w:tcW w:type="dxa" w:w="2232"/>
            <w:vAlign w:val="center"/>
            <w:tcMar>
              <w:top w:w="100" w:type="dxa"/>
              <w:start w:w="100" w:type="dxa"/>
              <w:bottom w:w="100" w:type="dxa"/>
              <w:end w:w="100" w:type="dxa"/>
            </w:tcMar>
          </w:tcPr>
          <w:p>
            <w:pPr>
              <w:spacing w:after="0"/>
            </w:pPr>
            <w:r>
              <w:rPr>
                <w:rFonts w:ascii="Aptos" w:hAnsi="Aptos"/>
                <w:sz w:val="14"/>
              </w:rPr>
              <w:t>Routines de vérification, analyse des écarts et ajustement.</w:t>
            </w:r>
          </w:p>
        </w:tc>
        <w:tc>
          <w:tcPr>
            <w:tcW w:type="dxa" w:w="2016"/>
            <w:vAlign w:val="center"/>
            <w:tcMar>
              <w:top w:w="100" w:type="dxa"/>
              <w:start w:w="100" w:type="dxa"/>
              <w:bottom w:w="100" w:type="dxa"/>
              <w:end w:w="100" w:type="dxa"/>
            </w:tcMar>
          </w:tcPr>
          <w:p>
            <w:pPr>
              <w:spacing w:after="0"/>
            </w:pPr>
            <w:r>
              <w:rPr>
                <w:rFonts w:ascii="Aptos" w:hAnsi="Aptos"/>
                <w:sz w:val="14"/>
              </w:rPr>
              <w:t>Ritualisation si la revue ne produit aucun arbitrage.</w:t>
            </w:r>
          </w:p>
        </w:tc>
        <w:tc>
          <w:tcPr>
            <w:tcW w:type="dxa" w:w="2304"/>
            <w:vAlign w:val="center"/>
            <w:tcMar>
              <w:top w:w="100" w:type="dxa"/>
              <w:start w:w="100" w:type="dxa"/>
              <w:bottom w:w="100" w:type="dxa"/>
              <w:end w:w="100" w:type="dxa"/>
            </w:tcMar>
          </w:tcPr>
          <w:p>
            <w:pPr>
              <w:spacing w:after="0"/>
            </w:pPr>
            <w:r>
              <w:rPr>
                <w:rFonts w:ascii="Aptos" w:hAnsi="Aptos"/>
                <w:sz w:val="14"/>
              </w:rPr>
              <w:t>Détection accélérée des écarts et causes possibles.</w:t>
            </w:r>
          </w:p>
        </w:tc>
      </w:tr>
      <w:tr>
        <w:tc>
          <w:tcPr>
            <w:tcW w:type="dxa" w:w="1800"/>
            <w:vAlign w:val="center"/>
            <w:tcMar>
              <w:top w:w="100" w:type="dxa"/>
              <w:start w:w="100" w:type="dxa"/>
              <w:bottom w:w="100" w:type="dxa"/>
              <w:end w:w="100" w:type="dxa"/>
            </w:tcMar>
          </w:tcPr>
          <w:p>
            <w:pPr>
              <w:spacing w:after="0"/>
            </w:pPr>
            <w:r>
              <w:rPr>
                <w:rFonts w:ascii="Aptos" w:hAnsi="Aptos"/>
                <w:sz w:val="14"/>
              </w:rPr>
              <w:t>GAR / RBM</w:t>
            </w:r>
          </w:p>
        </w:tc>
        <w:tc>
          <w:tcPr>
            <w:tcW w:type="dxa" w:w="1944"/>
            <w:vAlign w:val="center"/>
            <w:tcMar>
              <w:top w:w="100" w:type="dxa"/>
              <w:start w:w="100" w:type="dxa"/>
              <w:bottom w:w="100" w:type="dxa"/>
              <w:end w:w="100" w:type="dxa"/>
            </w:tcMar>
          </w:tcPr>
          <w:p>
            <w:pPr>
              <w:spacing w:after="0"/>
            </w:pPr>
            <w:r>
              <w:rPr>
                <w:rFonts w:ascii="Aptos" w:hAnsi="Aptos"/>
                <w:sz w:val="14"/>
              </w:rPr>
              <w:t>Structurer ressources → activités → produits → effets → impacts.</w:t>
            </w:r>
          </w:p>
        </w:tc>
        <w:tc>
          <w:tcPr>
            <w:tcW w:type="dxa" w:w="2232"/>
            <w:vAlign w:val="center"/>
            <w:tcMar>
              <w:top w:w="100" w:type="dxa"/>
              <w:start w:w="100" w:type="dxa"/>
              <w:bottom w:w="100" w:type="dxa"/>
              <w:end w:w="100" w:type="dxa"/>
            </w:tcMar>
          </w:tcPr>
          <w:p>
            <w:pPr>
              <w:spacing w:after="0"/>
            </w:pPr>
            <w:r>
              <w:rPr>
                <w:rFonts w:ascii="Aptos" w:hAnsi="Aptos"/>
                <w:sz w:val="14"/>
              </w:rPr>
              <w:t>Clarifie la chaîne de résultats.</w:t>
            </w:r>
          </w:p>
        </w:tc>
        <w:tc>
          <w:tcPr>
            <w:tcW w:type="dxa" w:w="2016"/>
            <w:vAlign w:val="center"/>
            <w:tcMar>
              <w:top w:w="100" w:type="dxa"/>
              <w:start w:w="100" w:type="dxa"/>
              <w:bottom w:w="100" w:type="dxa"/>
              <w:end w:w="100" w:type="dxa"/>
            </w:tcMar>
          </w:tcPr>
          <w:p>
            <w:pPr>
              <w:spacing w:after="0"/>
            </w:pPr>
            <w:r>
              <w:rPr>
                <w:rFonts w:ascii="Aptos" w:hAnsi="Aptos"/>
                <w:sz w:val="14"/>
              </w:rPr>
              <w:t>Attribution excessive des impacts.</w:t>
            </w:r>
          </w:p>
        </w:tc>
        <w:tc>
          <w:tcPr>
            <w:tcW w:type="dxa" w:w="2304"/>
            <w:vAlign w:val="center"/>
            <w:tcMar>
              <w:top w:w="100" w:type="dxa"/>
              <w:start w:w="100" w:type="dxa"/>
              <w:bottom w:w="100" w:type="dxa"/>
              <w:end w:w="100" w:type="dxa"/>
            </w:tcMar>
          </w:tcPr>
          <w:p>
            <w:pPr>
              <w:spacing w:after="0"/>
            </w:pPr>
            <w:r>
              <w:rPr>
                <w:rFonts w:ascii="Aptos" w:hAnsi="Aptos"/>
                <w:sz w:val="14"/>
              </w:rPr>
              <w:t>Test de cohérence et modélisation des contributions.</w:t>
            </w:r>
          </w:p>
        </w:tc>
      </w:tr>
      <w:tr>
        <w:tc>
          <w:tcPr>
            <w:tcW w:type="dxa" w:w="1800"/>
            <w:vAlign w:val="center"/>
            <w:tcMar>
              <w:top w:w="100" w:type="dxa"/>
              <w:start w:w="100" w:type="dxa"/>
              <w:bottom w:w="100" w:type="dxa"/>
              <w:end w:w="100" w:type="dxa"/>
            </w:tcMar>
          </w:tcPr>
          <w:p>
            <w:pPr>
              <w:spacing w:after="0"/>
            </w:pPr>
            <w:r>
              <w:rPr>
                <w:rFonts w:ascii="Aptos" w:hAnsi="Aptos"/>
                <w:sz w:val="14"/>
              </w:rPr>
              <w:t>Balanced Scorecard</w:t>
            </w:r>
          </w:p>
        </w:tc>
        <w:tc>
          <w:tcPr>
            <w:tcW w:type="dxa" w:w="1944"/>
            <w:vAlign w:val="center"/>
            <w:tcMar>
              <w:top w:w="100" w:type="dxa"/>
              <w:start w:w="100" w:type="dxa"/>
              <w:bottom w:w="100" w:type="dxa"/>
              <w:end w:w="100" w:type="dxa"/>
            </w:tcMar>
          </w:tcPr>
          <w:p>
            <w:pPr>
              <w:spacing w:after="0"/>
            </w:pPr>
            <w:r>
              <w:rPr>
                <w:rFonts w:ascii="Aptos" w:hAnsi="Aptos"/>
                <w:sz w:val="14"/>
              </w:rPr>
              <w:t>Équilibrer mesures financières et non financières.</w:t>
            </w:r>
          </w:p>
        </w:tc>
        <w:tc>
          <w:tcPr>
            <w:tcW w:type="dxa" w:w="2232"/>
            <w:vAlign w:val="center"/>
            <w:tcMar>
              <w:top w:w="100" w:type="dxa"/>
              <w:start w:w="100" w:type="dxa"/>
              <w:bottom w:w="100" w:type="dxa"/>
              <w:end w:w="100" w:type="dxa"/>
            </w:tcMar>
          </w:tcPr>
          <w:p>
            <w:pPr>
              <w:spacing w:after="0"/>
            </w:pPr>
            <w:r>
              <w:rPr>
                <w:rFonts w:ascii="Aptos" w:hAnsi="Aptos"/>
                <w:sz w:val="14"/>
              </w:rPr>
              <w:t>Relie stratégie, processus, capacités et usagers.</w:t>
            </w:r>
          </w:p>
        </w:tc>
        <w:tc>
          <w:tcPr>
            <w:tcW w:type="dxa" w:w="2016"/>
            <w:vAlign w:val="center"/>
            <w:tcMar>
              <w:top w:w="100" w:type="dxa"/>
              <w:start w:w="100" w:type="dxa"/>
              <w:bottom w:w="100" w:type="dxa"/>
              <w:end w:w="100" w:type="dxa"/>
            </w:tcMar>
          </w:tcPr>
          <w:p>
            <w:pPr>
              <w:spacing w:after="0"/>
            </w:pPr>
            <w:r>
              <w:rPr>
                <w:rFonts w:ascii="Aptos" w:hAnsi="Aptos"/>
                <w:sz w:val="14"/>
              </w:rPr>
              <w:t>Prolifération d’indicateurs.</w:t>
            </w:r>
          </w:p>
        </w:tc>
        <w:tc>
          <w:tcPr>
            <w:tcW w:type="dxa" w:w="2304"/>
            <w:vAlign w:val="center"/>
            <w:tcMar>
              <w:top w:w="100" w:type="dxa"/>
              <w:start w:w="100" w:type="dxa"/>
              <w:bottom w:w="100" w:type="dxa"/>
              <w:end w:w="100" w:type="dxa"/>
            </w:tcMar>
          </w:tcPr>
          <w:p>
            <w:pPr>
              <w:spacing w:after="0"/>
            </w:pPr>
            <w:r>
              <w:rPr>
                <w:rFonts w:ascii="Aptos" w:hAnsi="Aptos"/>
                <w:sz w:val="14"/>
              </w:rPr>
              <w:t>Consolidation de données ; causalités validées humainement.</w:t>
            </w:r>
          </w:p>
        </w:tc>
      </w:tr>
      <w:tr>
        <w:tc>
          <w:tcPr>
            <w:tcW w:type="dxa" w:w="1800"/>
            <w:vAlign w:val="center"/>
            <w:tcMar>
              <w:top w:w="100" w:type="dxa"/>
              <w:start w:w="100" w:type="dxa"/>
              <w:bottom w:w="100" w:type="dxa"/>
              <w:end w:w="100" w:type="dxa"/>
            </w:tcMar>
          </w:tcPr>
          <w:p>
            <w:pPr>
              <w:spacing w:after="0"/>
            </w:pPr>
            <w:r>
              <w:rPr>
                <w:rFonts w:ascii="Aptos" w:hAnsi="Aptos"/>
                <w:sz w:val="14"/>
              </w:rPr>
              <w:t>Public Value — Moore</w:t>
            </w:r>
          </w:p>
        </w:tc>
        <w:tc>
          <w:tcPr>
            <w:tcW w:type="dxa" w:w="1944"/>
            <w:vAlign w:val="center"/>
            <w:tcMar>
              <w:top w:w="100" w:type="dxa"/>
              <w:start w:w="100" w:type="dxa"/>
              <w:bottom w:w="100" w:type="dxa"/>
              <w:end w:w="100" w:type="dxa"/>
            </w:tcMar>
          </w:tcPr>
          <w:p>
            <w:pPr>
              <w:spacing w:after="0"/>
            </w:pPr>
            <w:r>
              <w:rPr>
                <w:rFonts w:ascii="Aptos" w:hAnsi="Aptos"/>
                <w:sz w:val="14"/>
              </w:rPr>
              <w:t>Créer une valeur collective légitime et soutenable.</w:t>
            </w:r>
          </w:p>
        </w:tc>
        <w:tc>
          <w:tcPr>
            <w:tcW w:type="dxa" w:w="2232"/>
            <w:vAlign w:val="center"/>
            <w:tcMar>
              <w:top w:w="100" w:type="dxa"/>
              <w:start w:w="100" w:type="dxa"/>
              <w:bottom w:w="100" w:type="dxa"/>
              <w:end w:w="100" w:type="dxa"/>
            </w:tcMar>
          </w:tcPr>
          <w:p>
            <w:pPr>
              <w:spacing w:after="0"/>
            </w:pPr>
            <w:r>
              <w:rPr>
                <w:rFonts w:ascii="Aptos" w:hAnsi="Aptos"/>
                <w:sz w:val="14"/>
              </w:rPr>
              <w:t>Réintroduit confiance, équité et légitimité.</w:t>
            </w:r>
          </w:p>
        </w:tc>
        <w:tc>
          <w:tcPr>
            <w:tcW w:type="dxa" w:w="2016"/>
            <w:vAlign w:val="center"/>
            <w:tcMar>
              <w:top w:w="100" w:type="dxa"/>
              <w:start w:w="100" w:type="dxa"/>
              <w:bottom w:w="100" w:type="dxa"/>
              <w:end w:w="100" w:type="dxa"/>
            </w:tcMar>
          </w:tcPr>
          <w:p>
            <w:pPr>
              <w:spacing w:after="0"/>
            </w:pPr>
            <w:r>
              <w:rPr>
                <w:rFonts w:ascii="Aptos" w:hAnsi="Aptos"/>
                <w:sz w:val="14"/>
              </w:rPr>
              <w:t>Valeurs plurielles et parfois conflictuelles.</w:t>
            </w:r>
          </w:p>
        </w:tc>
        <w:tc>
          <w:tcPr>
            <w:tcW w:type="dxa" w:w="2304"/>
            <w:vAlign w:val="center"/>
            <w:tcMar>
              <w:top w:w="100" w:type="dxa"/>
              <w:start w:w="100" w:type="dxa"/>
              <w:bottom w:w="100" w:type="dxa"/>
              <w:end w:w="100" w:type="dxa"/>
            </w:tcMar>
          </w:tcPr>
          <w:p>
            <w:pPr>
              <w:spacing w:after="0"/>
            </w:pPr>
            <w:r>
              <w:rPr>
                <w:rFonts w:ascii="Aptos" w:hAnsi="Aptos"/>
                <w:sz w:val="14"/>
              </w:rPr>
              <w:t>Analyse des attentes sans arbitrage algorithmique des valeurs.</w:t>
            </w:r>
          </w:p>
        </w:tc>
      </w:tr>
      <w:tr>
        <w:tc>
          <w:tcPr>
            <w:tcW w:type="dxa" w:w="1800"/>
            <w:vAlign w:val="center"/>
            <w:tcMar>
              <w:top w:w="100" w:type="dxa"/>
              <w:start w:w="100" w:type="dxa"/>
              <w:bottom w:w="100" w:type="dxa"/>
              <w:end w:w="100" w:type="dxa"/>
            </w:tcMar>
          </w:tcPr>
          <w:p>
            <w:pPr>
              <w:spacing w:after="0"/>
            </w:pPr>
            <w:r>
              <w:rPr>
                <w:rFonts w:ascii="Aptos" w:hAnsi="Aptos"/>
                <w:sz w:val="14"/>
              </w:rPr>
              <w:t>GPRA / GPRAMA</w:t>
            </w:r>
          </w:p>
        </w:tc>
        <w:tc>
          <w:tcPr>
            <w:tcW w:type="dxa" w:w="1944"/>
            <w:vAlign w:val="center"/>
            <w:tcMar>
              <w:top w:w="100" w:type="dxa"/>
              <w:start w:w="100" w:type="dxa"/>
              <w:bottom w:w="100" w:type="dxa"/>
              <w:end w:w="100" w:type="dxa"/>
            </w:tcMar>
          </w:tcPr>
          <w:p>
            <w:pPr>
              <w:spacing w:after="0"/>
            </w:pPr>
            <w:r>
              <w:rPr>
                <w:rFonts w:ascii="Aptos" w:hAnsi="Aptos"/>
                <w:sz w:val="14"/>
              </w:rPr>
              <w:t>Institutionnaliser planification et revues de performance.</w:t>
            </w:r>
          </w:p>
        </w:tc>
        <w:tc>
          <w:tcPr>
            <w:tcW w:type="dxa" w:w="2232"/>
            <w:vAlign w:val="center"/>
            <w:tcMar>
              <w:top w:w="100" w:type="dxa"/>
              <w:start w:w="100" w:type="dxa"/>
              <w:bottom w:w="100" w:type="dxa"/>
              <w:end w:w="100" w:type="dxa"/>
            </w:tcMar>
          </w:tcPr>
          <w:p>
            <w:pPr>
              <w:spacing w:after="0"/>
            </w:pPr>
            <w:r>
              <w:rPr>
                <w:rFonts w:ascii="Aptos" w:hAnsi="Aptos"/>
                <w:sz w:val="14"/>
              </w:rPr>
              <w:t>Routines légales de pilotage par les données.</w:t>
            </w:r>
          </w:p>
        </w:tc>
        <w:tc>
          <w:tcPr>
            <w:tcW w:type="dxa" w:w="2016"/>
            <w:vAlign w:val="center"/>
            <w:tcMar>
              <w:top w:w="100" w:type="dxa"/>
              <w:start w:w="100" w:type="dxa"/>
              <w:bottom w:w="100" w:type="dxa"/>
              <w:end w:w="100" w:type="dxa"/>
            </w:tcMar>
          </w:tcPr>
          <w:p>
            <w:pPr>
              <w:spacing w:after="0"/>
            </w:pPr>
            <w:r>
              <w:rPr>
                <w:rFonts w:ascii="Aptos" w:hAnsi="Aptos"/>
                <w:sz w:val="14"/>
              </w:rPr>
              <w:t>Conformité formelle et rapports peu exploités.</w:t>
            </w:r>
          </w:p>
        </w:tc>
        <w:tc>
          <w:tcPr>
            <w:tcW w:type="dxa" w:w="2304"/>
            <w:vAlign w:val="center"/>
            <w:tcMar>
              <w:top w:w="100" w:type="dxa"/>
              <w:start w:w="100" w:type="dxa"/>
              <w:bottom w:w="100" w:type="dxa"/>
              <w:end w:w="100" w:type="dxa"/>
            </w:tcMar>
          </w:tcPr>
          <w:p>
            <w:pPr>
              <w:spacing w:after="0"/>
            </w:pPr>
            <w:r>
              <w:rPr>
                <w:rFonts w:ascii="Aptos" w:hAnsi="Aptos"/>
                <w:sz w:val="14"/>
              </w:rPr>
              <w:t>Synthèse des revues et suivi des engagements.</w:t>
            </w:r>
          </w:p>
        </w:tc>
      </w:tr>
      <w:tr>
        <w:tc>
          <w:tcPr>
            <w:tcW w:type="dxa" w:w="1800"/>
            <w:vAlign w:val="center"/>
            <w:tcMar>
              <w:top w:w="100" w:type="dxa"/>
              <w:start w:w="100" w:type="dxa"/>
              <w:bottom w:w="100" w:type="dxa"/>
              <w:end w:w="100" w:type="dxa"/>
            </w:tcMar>
          </w:tcPr>
          <w:p>
            <w:pPr>
              <w:spacing w:after="0"/>
            </w:pPr>
            <w:r>
              <w:rPr>
                <w:rFonts w:ascii="Aptos" w:hAnsi="Aptos"/>
                <w:sz w:val="14"/>
              </w:rPr>
              <w:t>GAR-UEMOA / Budget-programme</w:t>
            </w:r>
          </w:p>
        </w:tc>
        <w:tc>
          <w:tcPr>
            <w:tcW w:type="dxa" w:w="1944"/>
            <w:vAlign w:val="center"/>
            <w:tcMar>
              <w:top w:w="100" w:type="dxa"/>
              <w:start w:w="100" w:type="dxa"/>
              <w:bottom w:w="100" w:type="dxa"/>
              <w:end w:w="100" w:type="dxa"/>
            </w:tcMar>
          </w:tcPr>
          <w:p>
            <w:pPr>
              <w:spacing w:after="0"/>
            </w:pPr>
            <w:r>
              <w:rPr>
                <w:rFonts w:ascii="Aptos" w:hAnsi="Aptos"/>
                <w:sz w:val="14"/>
              </w:rPr>
              <w:t>Relier ressources, objectifs et résultats.</w:t>
            </w:r>
          </w:p>
        </w:tc>
        <w:tc>
          <w:tcPr>
            <w:tcW w:type="dxa" w:w="2232"/>
            <w:vAlign w:val="center"/>
            <w:tcMar>
              <w:top w:w="100" w:type="dxa"/>
              <w:start w:w="100" w:type="dxa"/>
              <w:bottom w:w="100" w:type="dxa"/>
              <w:end w:w="100" w:type="dxa"/>
            </w:tcMar>
          </w:tcPr>
          <w:p>
            <w:pPr>
              <w:spacing w:after="0"/>
            </w:pPr>
            <w:r>
              <w:rPr>
                <w:rFonts w:ascii="Aptos" w:hAnsi="Aptos"/>
                <w:sz w:val="14"/>
              </w:rPr>
              <w:t>Articule programmation, PAP, RAP et redevabilité.</w:t>
            </w:r>
          </w:p>
        </w:tc>
        <w:tc>
          <w:tcPr>
            <w:tcW w:type="dxa" w:w="2016"/>
            <w:vAlign w:val="center"/>
            <w:tcMar>
              <w:top w:w="100" w:type="dxa"/>
              <w:start w:w="100" w:type="dxa"/>
              <w:bottom w:w="100" w:type="dxa"/>
              <w:end w:w="100" w:type="dxa"/>
            </w:tcMar>
          </w:tcPr>
          <w:p>
            <w:pPr>
              <w:spacing w:after="0"/>
            </w:pPr>
            <w:r>
              <w:rPr>
                <w:rFonts w:ascii="Aptos" w:hAnsi="Aptos"/>
                <w:sz w:val="14"/>
              </w:rPr>
              <w:t>Culture de la dépense sous habillage de performance.</w:t>
            </w:r>
          </w:p>
        </w:tc>
        <w:tc>
          <w:tcPr>
            <w:tcW w:type="dxa" w:w="2304"/>
            <w:vAlign w:val="center"/>
            <w:tcMar>
              <w:top w:w="100" w:type="dxa"/>
              <w:start w:w="100" w:type="dxa"/>
              <w:bottom w:w="100" w:type="dxa"/>
              <w:end w:w="100" w:type="dxa"/>
            </w:tcMar>
          </w:tcPr>
          <w:p>
            <w:pPr>
              <w:spacing w:after="0"/>
            </w:pPr>
            <w:r>
              <w:rPr>
                <w:rFonts w:ascii="Aptos" w:hAnsi="Aptos"/>
                <w:sz w:val="14"/>
              </w:rPr>
              <w:t>Contrôle de cohérence programmes-indicateurs-cibles-ressources.</w:t>
            </w:r>
          </w:p>
        </w:tc>
      </w:tr>
      <w:tr>
        <w:tc>
          <w:tcPr>
            <w:tcW w:type="dxa" w:w="1800"/>
            <w:vAlign w:val="center"/>
            <w:tcMar>
              <w:top w:w="100" w:type="dxa"/>
              <w:start w:w="100" w:type="dxa"/>
              <w:bottom w:w="100" w:type="dxa"/>
              <w:end w:w="100" w:type="dxa"/>
            </w:tcMar>
          </w:tcPr>
          <w:p>
            <w:pPr>
              <w:spacing w:after="0"/>
            </w:pPr>
            <w:r>
              <w:rPr>
                <w:rFonts w:ascii="Aptos" w:hAnsi="Aptos"/>
                <w:sz w:val="14"/>
              </w:rPr>
              <w:t>Baldrige</w:t>
            </w:r>
          </w:p>
        </w:tc>
        <w:tc>
          <w:tcPr>
            <w:tcW w:type="dxa" w:w="1944"/>
            <w:vAlign w:val="center"/>
            <w:tcMar>
              <w:top w:w="100" w:type="dxa"/>
              <w:start w:w="100" w:type="dxa"/>
              <w:bottom w:w="100" w:type="dxa"/>
              <w:end w:w="100" w:type="dxa"/>
            </w:tcMar>
          </w:tcPr>
          <w:p>
            <w:pPr>
              <w:spacing w:after="0"/>
            </w:pPr>
            <w:r>
              <w:rPr>
                <w:rFonts w:ascii="Aptos" w:hAnsi="Aptos"/>
                <w:sz w:val="14"/>
              </w:rPr>
              <w:t>Aligner leadership, stratégie, opérations et résultats.</w:t>
            </w:r>
          </w:p>
        </w:tc>
        <w:tc>
          <w:tcPr>
            <w:tcW w:type="dxa" w:w="2232"/>
            <w:vAlign w:val="center"/>
            <w:tcMar>
              <w:top w:w="100" w:type="dxa"/>
              <w:start w:w="100" w:type="dxa"/>
              <w:bottom w:w="100" w:type="dxa"/>
              <w:end w:w="100" w:type="dxa"/>
            </w:tcMar>
          </w:tcPr>
          <w:p>
            <w:pPr>
              <w:spacing w:after="0"/>
            </w:pPr>
            <w:r>
              <w:rPr>
                <w:rFonts w:ascii="Aptos" w:hAnsi="Aptos"/>
                <w:sz w:val="14"/>
              </w:rPr>
              <w:t>Vision systémique de la performance globale.</w:t>
            </w:r>
          </w:p>
        </w:tc>
        <w:tc>
          <w:tcPr>
            <w:tcW w:type="dxa" w:w="2016"/>
            <w:vAlign w:val="center"/>
            <w:tcMar>
              <w:top w:w="100" w:type="dxa"/>
              <w:start w:w="100" w:type="dxa"/>
              <w:bottom w:w="100" w:type="dxa"/>
              <w:end w:w="100" w:type="dxa"/>
            </w:tcMar>
          </w:tcPr>
          <w:p>
            <w:pPr>
              <w:spacing w:after="0"/>
            </w:pPr>
            <w:r>
              <w:rPr>
                <w:rFonts w:ascii="Aptos" w:hAnsi="Aptos"/>
                <w:sz w:val="14"/>
              </w:rPr>
              <w:t>Complexité de déploiement.</w:t>
            </w:r>
          </w:p>
        </w:tc>
        <w:tc>
          <w:tcPr>
            <w:tcW w:type="dxa" w:w="2304"/>
            <w:vAlign w:val="center"/>
            <w:tcMar>
              <w:top w:w="100" w:type="dxa"/>
              <w:start w:w="100" w:type="dxa"/>
              <w:bottom w:w="100" w:type="dxa"/>
              <w:end w:w="100" w:type="dxa"/>
            </w:tcMar>
          </w:tcPr>
          <w:p>
            <w:pPr>
              <w:spacing w:after="0"/>
            </w:pPr>
            <w:r>
              <w:rPr>
                <w:rFonts w:ascii="Aptos" w:hAnsi="Aptos"/>
                <w:sz w:val="14"/>
              </w:rPr>
              <w:t>Analyse de tendances et connaissance usagers.</w:t>
            </w:r>
          </w:p>
        </w:tc>
      </w:tr>
      <w:tr>
        <w:tc>
          <w:tcPr>
            <w:tcW w:type="dxa" w:w="1800"/>
            <w:vAlign w:val="center"/>
            <w:tcMar>
              <w:top w:w="100" w:type="dxa"/>
              <w:start w:w="100" w:type="dxa"/>
              <w:bottom w:w="100" w:type="dxa"/>
              <w:end w:w="100" w:type="dxa"/>
            </w:tcMar>
          </w:tcPr>
          <w:p>
            <w:pPr>
              <w:spacing w:after="0"/>
            </w:pPr>
            <w:r>
              <w:rPr>
                <w:rFonts w:ascii="Aptos" w:hAnsi="Aptos"/>
                <w:sz w:val="14"/>
              </w:rPr>
              <w:t>EFQM</w:t>
            </w:r>
          </w:p>
        </w:tc>
        <w:tc>
          <w:tcPr>
            <w:tcW w:type="dxa" w:w="1944"/>
            <w:vAlign w:val="center"/>
            <w:tcMar>
              <w:top w:w="100" w:type="dxa"/>
              <w:start w:w="100" w:type="dxa"/>
              <w:bottom w:w="100" w:type="dxa"/>
              <w:end w:w="100" w:type="dxa"/>
            </w:tcMar>
          </w:tcPr>
          <w:p>
            <w:pPr>
              <w:spacing w:after="0"/>
            </w:pPr>
            <w:r>
              <w:rPr>
                <w:rFonts w:ascii="Aptos" w:hAnsi="Aptos"/>
                <w:sz w:val="14"/>
              </w:rPr>
              <w:t>Transformation et valeur durable pour les parties prenantes.</w:t>
            </w:r>
          </w:p>
        </w:tc>
        <w:tc>
          <w:tcPr>
            <w:tcW w:type="dxa" w:w="2232"/>
            <w:vAlign w:val="center"/>
            <w:tcMar>
              <w:top w:w="100" w:type="dxa"/>
              <w:start w:w="100" w:type="dxa"/>
              <w:bottom w:w="100" w:type="dxa"/>
              <w:end w:w="100" w:type="dxa"/>
            </w:tcMar>
          </w:tcPr>
          <w:p>
            <w:pPr>
              <w:spacing w:after="0"/>
            </w:pPr>
            <w:r>
              <w:rPr>
                <w:rFonts w:ascii="Aptos" w:hAnsi="Aptos"/>
                <w:sz w:val="14"/>
              </w:rPr>
              <w:t>Raison d’être, culture, stratégie, résultats.</w:t>
            </w:r>
          </w:p>
        </w:tc>
        <w:tc>
          <w:tcPr>
            <w:tcW w:type="dxa" w:w="2016"/>
            <w:vAlign w:val="center"/>
            <w:tcMar>
              <w:top w:w="100" w:type="dxa"/>
              <w:start w:w="100" w:type="dxa"/>
              <w:bottom w:w="100" w:type="dxa"/>
              <w:end w:w="100" w:type="dxa"/>
            </w:tcMar>
          </w:tcPr>
          <w:p>
            <w:pPr>
              <w:spacing w:after="0"/>
            </w:pPr>
            <w:r>
              <w:rPr>
                <w:rFonts w:ascii="Aptos" w:hAnsi="Aptos"/>
                <w:sz w:val="14"/>
              </w:rPr>
              <w:t>Auto-évaluation complaisante possible.</w:t>
            </w:r>
          </w:p>
        </w:tc>
        <w:tc>
          <w:tcPr>
            <w:tcW w:type="dxa" w:w="2304"/>
            <w:vAlign w:val="center"/>
            <w:tcMar>
              <w:top w:w="100" w:type="dxa"/>
              <w:start w:w="100" w:type="dxa"/>
              <w:bottom w:w="100" w:type="dxa"/>
              <w:end w:w="100" w:type="dxa"/>
            </w:tcMar>
          </w:tcPr>
          <w:p>
            <w:pPr>
              <w:spacing w:after="0"/>
            </w:pPr>
            <w:r>
              <w:rPr>
                <w:rFonts w:ascii="Aptos" w:hAnsi="Aptos"/>
                <w:sz w:val="14"/>
              </w:rPr>
              <w:t>Benchmarking et diagnostic assistés.</w:t>
            </w:r>
          </w:p>
        </w:tc>
      </w:tr>
      <w:tr>
        <w:tc>
          <w:tcPr>
            <w:tcW w:type="dxa" w:w="1800"/>
            <w:vAlign w:val="center"/>
            <w:tcMar>
              <w:top w:w="100" w:type="dxa"/>
              <w:start w:w="100" w:type="dxa"/>
              <w:bottom w:w="100" w:type="dxa"/>
              <w:end w:w="100" w:type="dxa"/>
            </w:tcMar>
          </w:tcPr>
          <w:p>
            <w:pPr>
              <w:spacing w:after="0"/>
            </w:pPr>
            <w:r>
              <w:rPr>
                <w:rFonts w:ascii="Aptos" w:hAnsi="Aptos"/>
                <w:sz w:val="14"/>
              </w:rPr>
              <w:t>CAF</w:t>
            </w:r>
          </w:p>
        </w:tc>
        <w:tc>
          <w:tcPr>
            <w:tcW w:type="dxa" w:w="1944"/>
            <w:vAlign w:val="center"/>
            <w:tcMar>
              <w:top w:w="100" w:type="dxa"/>
              <w:start w:w="100" w:type="dxa"/>
              <w:bottom w:w="100" w:type="dxa"/>
              <w:end w:w="100" w:type="dxa"/>
            </w:tcMar>
          </w:tcPr>
          <w:p>
            <w:pPr>
              <w:spacing w:after="0"/>
            </w:pPr>
            <w:r>
              <w:rPr>
                <w:rFonts w:ascii="Aptos" w:hAnsi="Aptos"/>
                <w:sz w:val="14"/>
              </w:rPr>
              <w:t>Auto-évaluation adaptée au secteur public.</w:t>
            </w:r>
          </w:p>
        </w:tc>
        <w:tc>
          <w:tcPr>
            <w:tcW w:type="dxa" w:w="2232"/>
            <w:vAlign w:val="center"/>
            <w:tcMar>
              <w:top w:w="100" w:type="dxa"/>
              <w:start w:w="100" w:type="dxa"/>
              <w:bottom w:w="100" w:type="dxa"/>
              <w:end w:w="100" w:type="dxa"/>
            </w:tcMar>
          </w:tcPr>
          <w:p>
            <w:pPr>
              <w:spacing w:after="0"/>
            </w:pPr>
            <w:r>
              <w:rPr>
                <w:rFonts w:ascii="Aptos" w:hAnsi="Aptos"/>
                <w:sz w:val="14"/>
              </w:rPr>
              <w:t>Grille accessible facteurs/résultats.</w:t>
            </w:r>
          </w:p>
        </w:tc>
        <w:tc>
          <w:tcPr>
            <w:tcW w:type="dxa" w:w="2016"/>
            <w:vAlign w:val="center"/>
            <w:tcMar>
              <w:top w:w="100" w:type="dxa"/>
              <w:start w:w="100" w:type="dxa"/>
              <w:bottom w:w="100" w:type="dxa"/>
              <w:end w:w="100" w:type="dxa"/>
            </w:tcMar>
          </w:tcPr>
          <w:p>
            <w:pPr>
              <w:spacing w:after="0"/>
            </w:pPr>
            <w:r>
              <w:rPr>
                <w:rFonts w:ascii="Aptos" w:hAnsi="Aptos"/>
                <w:sz w:val="14"/>
              </w:rPr>
              <w:t>Diagnostic sans suite si leadership faible.</w:t>
            </w:r>
          </w:p>
        </w:tc>
        <w:tc>
          <w:tcPr>
            <w:tcW w:type="dxa" w:w="2304"/>
            <w:vAlign w:val="center"/>
            <w:tcMar>
              <w:top w:w="100" w:type="dxa"/>
              <w:start w:w="100" w:type="dxa"/>
              <w:bottom w:w="100" w:type="dxa"/>
              <w:end w:w="100" w:type="dxa"/>
            </w:tcMar>
          </w:tcPr>
          <w:p>
            <w:pPr>
              <w:spacing w:after="0"/>
            </w:pPr>
            <w:r>
              <w:rPr>
                <w:rFonts w:ascii="Aptos" w:hAnsi="Aptos"/>
                <w:sz w:val="14"/>
              </w:rPr>
              <w:t>Structuration des preuves et des écarts.</w:t>
            </w:r>
          </w:p>
        </w:tc>
      </w:tr>
      <w:tr>
        <w:tc>
          <w:tcPr>
            <w:tcW w:type="dxa" w:w="1800"/>
            <w:vAlign w:val="center"/>
            <w:tcMar>
              <w:top w:w="100" w:type="dxa"/>
              <w:start w:w="100" w:type="dxa"/>
              <w:bottom w:w="100" w:type="dxa"/>
              <w:end w:w="100" w:type="dxa"/>
            </w:tcMar>
          </w:tcPr>
          <w:p>
            <w:pPr>
              <w:spacing w:after="0"/>
            </w:pPr>
            <w:r>
              <w:rPr>
                <w:rFonts w:ascii="Aptos" w:hAnsi="Aptos"/>
                <w:sz w:val="14"/>
              </w:rPr>
              <w:t>COSO</w:t>
            </w:r>
          </w:p>
        </w:tc>
        <w:tc>
          <w:tcPr>
            <w:tcW w:type="dxa" w:w="1944"/>
            <w:vAlign w:val="center"/>
            <w:tcMar>
              <w:top w:w="100" w:type="dxa"/>
              <w:start w:w="100" w:type="dxa"/>
              <w:bottom w:w="100" w:type="dxa"/>
              <w:end w:w="100" w:type="dxa"/>
            </w:tcMar>
          </w:tcPr>
          <w:p>
            <w:pPr>
              <w:spacing w:after="0"/>
            </w:pPr>
            <w:r>
              <w:rPr>
                <w:rFonts w:ascii="Aptos" w:hAnsi="Aptos"/>
                <w:sz w:val="14"/>
              </w:rPr>
              <w:t>Sécuriser l’atteinte des objectifs par le contrôle interne.</w:t>
            </w:r>
          </w:p>
        </w:tc>
        <w:tc>
          <w:tcPr>
            <w:tcW w:type="dxa" w:w="2232"/>
            <w:vAlign w:val="center"/>
            <w:tcMar>
              <w:top w:w="100" w:type="dxa"/>
              <w:start w:w="100" w:type="dxa"/>
              <w:bottom w:w="100" w:type="dxa"/>
              <w:end w:w="100" w:type="dxa"/>
            </w:tcMar>
          </w:tcPr>
          <w:p>
            <w:pPr>
              <w:spacing w:after="0"/>
            </w:pPr>
            <w:r>
              <w:rPr>
                <w:rFonts w:ascii="Aptos" w:hAnsi="Aptos"/>
                <w:sz w:val="14"/>
              </w:rPr>
              <w:t>Fiabilité, conformité, protection des actifs.</w:t>
            </w:r>
          </w:p>
        </w:tc>
        <w:tc>
          <w:tcPr>
            <w:tcW w:type="dxa" w:w="2016"/>
            <w:vAlign w:val="center"/>
            <w:tcMar>
              <w:top w:w="100" w:type="dxa"/>
              <w:start w:w="100" w:type="dxa"/>
              <w:bottom w:w="100" w:type="dxa"/>
              <w:end w:w="100" w:type="dxa"/>
            </w:tcMar>
          </w:tcPr>
          <w:p>
            <w:pPr>
              <w:spacing w:after="0"/>
            </w:pPr>
            <w:r>
              <w:rPr>
                <w:rFonts w:ascii="Aptos" w:hAnsi="Aptos"/>
                <w:sz w:val="14"/>
              </w:rPr>
              <w:t>Sur-contrôle paralysant.</w:t>
            </w:r>
          </w:p>
        </w:tc>
        <w:tc>
          <w:tcPr>
            <w:tcW w:type="dxa" w:w="2304"/>
            <w:vAlign w:val="center"/>
            <w:tcMar>
              <w:top w:w="100" w:type="dxa"/>
              <w:start w:w="100" w:type="dxa"/>
              <w:bottom w:w="100" w:type="dxa"/>
              <w:end w:w="100" w:type="dxa"/>
            </w:tcMar>
          </w:tcPr>
          <w:p>
            <w:pPr>
              <w:spacing w:after="0"/>
            </w:pPr>
            <w:r>
              <w:rPr>
                <w:rFonts w:ascii="Aptos" w:hAnsi="Aptos"/>
                <w:sz w:val="14"/>
              </w:rPr>
              <w:t>Contrôles automatisés ; IA elle-même auditable.</w:t>
            </w:r>
          </w:p>
        </w:tc>
      </w:tr>
      <w:tr>
        <w:tc>
          <w:tcPr>
            <w:tcW w:type="dxa" w:w="1800"/>
            <w:vAlign w:val="center"/>
            <w:tcMar>
              <w:top w:w="100" w:type="dxa"/>
              <w:start w:w="100" w:type="dxa"/>
              <w:bottom w:w="100" w:type="dxa"/>
              <w:end w:w="100" w:type="dxa"/>
            </w:tcMar>
          </w:tcPr>
          <w:p>
            <w:pPr>
              <w:spacing w:after="0"/>
            </w:pPr>
            <w:r>
              <w:rPr>
                <w:rFonts w:ascii="Aptos" w:hAnsi="Aptos"/>
                <w:sz w:val="14"/>
              </w:rPr>
              <w:t>Cadres OCDE — gouvernance &amp; IA</w:t>
            </w:r>
          </w:p>
        </w:tc>
        <w:tc>
          <w:tcPr>
            <w:tcW w:type="dxa" w:w="1944"/>
            <w:vAlign w:val="center"/>
            <w:tcMar>
              <w:top w:w="100" w:type="dxa"/>
              <w:start w:w="100" w:type="dxa"/>
              <w:bottom w:w="100" w:type="dxa"/>
              <w:end w:w="100" w:type="dxa"/>
            </w:tcMar>
          </w:tcPr>
          <w:p>
            <w:pPr>
              <w:spacing w:after="0"/>
            </w:pPr>
            <w:r>
              <w:rPr>
                <w:rFonts w:ascii="Aptos" w:hAnsi="Aptos"/>
                <w:sz w:val="14"/>
              </w:rPr>
              <w:t>Transparence, intégrité, preuve et responsabilité.</w:t>
            </w:r>
          </w:p>
        </w:tc>
        <w:tc>
          <w:tcPr>
            <w:tcW w:type="dxa" w:w="2232"/>
            <w:vAlign w:val="center"/>
            <w:tcMar>
              <w:top w:w="100" w:type="dxa"/>
              <w:start w:w="100" w:type="dxa"/>
              <w:bottom w:w="100" w:type="dxa"/>
              <w:end w:w="100" w:type="dxa"/>
            </w:tcMar>
          </w:tcPr>
          <w:p>
            <w:pPr>
              <w:spacing w:after="0"/>
            </w:pPr>
            <w:r>
              <w:rPr>
                <w:rFonts w:ascii="Aptos" w:hAnsi="Aptos"/>
                <w:sz w:val="14"/>
              </w:rPr>
              <w:t>Principes de gouvernance ouverte et traçabilité.</w:t>
            </w:r>
          </w:p>
        </w:tc>
        <w:tc>
          <w:tcPr>
            <w:tcW w:type="dxa" w:w="2016"/>
            <w:vAlign w:val="center"/>
            <w:tcMar>
              <w:top w:w="100" w:type="dxa"/>
              <w:start w:w="100" w:type="dxa"/>
              <w:bottom w:w="100" w:type="dxa"/>
              <w:end w:w="100" w:type="dxa"/>
            </w:tcMar>
          </w:tcPr>
          <w:p>
            <w:pPr>
              <w:spacing w:after="0"/>
            </w:pPr>
            <w:r>
              <w:rPr>
                <w:rFonts w:ascii="Aptos" w:hAnsi="Aptos"/>
                <w:sz w:val="14"/>
              </w:rPr>
              <w:t>Nécessitent une traduction opérationnelle.</w:t>
            </w:r>
          </w:p>
        </w:tc>
        <w:tc>
          <w:tcPr>
            <w:tcW w:type="dxa" w:w="2304"/>
            <w:vAlign w:val="center"/>
            <w:tcMar>
              <w:top w:w="100" w:type="dxa"/>
              <w:start w:w="100" w:type="dxa"/>
              <w:bottom w:w="100" w:type="dxa"/>
              <w:end w:w="100" w:type="dxa"/>
            </w:tcMar>
          </w:tcPr>
          <w:p>
            <w:pPr>
              <w:spacing w:after="0"/>
            </w:pPr>
            <w:r>
              <w:rPr>
                <w:rFonts w:ascii="Aptos" w:hAnsi="Aptos"/>
                <w:sz w:val="14"/>
              </w:rPr>
              <w:t>Explicabilité, contrôle humain et traçabilité des usages.</w:t>
            </w:r>
          </w:p>
        </w:tc>
      </w:tr>
    </w:tbl>
    <w:p/>
    <w:tbl>
      <w:tblPr>
        <w:tblW w:type="auto" w:w="0"/>
        <w:jc w:val="center"/>
        <w:tblLook w:firstColumn="1" w:firstRow="1" w:lastColumn="0" w:lastRow="0" w:noHBand="0" w:noVBand="1" w:val="04A0"/>
      </w:tblPr>
      <w:tblGrid>
        <w:gridCol w:w="10080"/>
      </w:tblGrid>
      <w:tr>
        <w:trPr>
          <w:cantSplit/>
        </w:trPr>
        <w:tc>
          <w:tcPr>
            <w:tcW w:type="dxa" w:w="10080"/>
            <w:shd w:fill="EAF2F8"/>
            <w:tcMar>
              <w:top w:w="140" w:type="dxa"/>
              <w:start w:w="160" w:type="dxa"/>
              <w:bottom w:w="140" w:type="dxa"/>
              <w:end w:w="160" w:type="dxa"/>
            </w:tcMar>
          </w:tcPr>
          <w:p>
            <w:r>
              <w:rPr>
                <w:b/>
                <w:color w:val="1F4E79"/>
                <w:sz w:val="21"/>
              </w:rPr>
              <w:t xml:space="preserve">Lecture transversale  </w:t>
            </w:r>
            <w:r>
              <w:rPr>
                <w:sz w:val="21"/>
              </w:rPr>
              <w:t>Ces modèles ne s’excluent pas. Ils éclairent des dimensions complémentaires : objectifs, apprentissage, chaîne de résultats, équilibre des mesures, valeur publique, institutionnalisation, excellence organisationnelle, contrôle interne et gouvernance responsable de l’IA.</w:t>
            </w:r>
          </w:p>
        </w:tc>
      </w:tr>
    </w:tbl>
    <w:p/>
    <w:p>
      <w:pPr>
        <w:jc w:val="center"/>
      </w:pPr>
      <w:r>
        <w:drawing>
          <wp:inline xmlns:a="http://schemas.openxmlformats.org/drawingml/2006/main" xmlns:pic="http://schemas.openxmlformats.org/drawingml/2006/picture">
            <wp:extent cx="6035040" cy="3566776"/>
            <wp:docPr id="2" name="Picture 2"/>
            <wp:cNvGraphicFramePr>
              <a:graphicFrameLocks noChangeAspect="1"/>
            </wp:cNvGraphicFramePr>
            <a:graphic>
              <a:graphicData uri="http://schemas.openxmlformats.org/drawingml/2006/picture">
                <pic:pic>
                  <pic:nvPicPr>
                    <pic:cNvPr id="0" name="architecture.png"/>
                    <pic:cNvPicPr/>
                  </pic:nvPicPr>
                  <pic:blipFill>
                    <a:blip r:embed="rId9"/>
                    <a:stretch>
                      <a:fillRect/>
                    </a:stretch>
                  </pic:blipFill>
                  <pic:spPr>
                    <a:xfrm>
                      <a:off x="0" y="0"/>
                      <a:ext cx="6035040" cy="3566776"/>
                    </a:xfrm>
                    <a:prstGeom prst="rect"/>
                  </pic:spPr>
                </pic:pic>
              </a:graphicData>
            </a:graphic>
          </wp:inline>
        </w:drawing>
      </w:r>
    </w:p>
    <w:p>
      <w:pPr>
        <w:pStyle w:val="Caption"/>
        <w:jc w:val="center"/>
      </w:pPr>
      <w:r>
        <w:t>Figure 2 — La performance comme système de gouvernance, et non comme simple tableau de bord.</w:t>
      </w:r>
    </w:p>
    <w:p>
      <w:pPr>
        <w:pStyle w:val="Heading1"/>
        <w:keepNext/>
      </w:pPr>
      <w:r>
        <w:t>2. De la programmation au RAP : la chaîne de valeur budgétaire axée sur les résultats</w:t>
      </w:r>
    </w:p>
    <w:p>
      <w:r>
        <w:t>Dans une logique de budget-programme, la performance n’apparaît pas en fin d’exercice : elle se prépare dès la programmation pluriannuelle, se contractualise dans le PAP, se pilote pendant l’exécution et se documente dans le RAP. La valeur du dispositif dépend surtout de la continuité entre ces instruments.</w:t>
      </w:r>
    </w:p>
    <w:p>
      <w:pPr>
        <w:jc w:val="center"/>
      </w:pPr>
      <w:r>
        <w:drawing>
          <wp:inline xmlns:a="http://schemas.openxmlformats.org/drawingml/2006/main" xmlns:pic="http://schemas.openxmlformats.org/drawingml/2006/picture">
            <wp:extent cx="6126480" cy="3188636"/>
            <wp:docPr id="3" name="Picture 3"/>
            <wp:cNvGraphicFramePr>
              <a:graphicFrameLocks noChangeAspect="1"/>
            </wp:cNvGraphicFramePr>
            <a:graphic>
              <a:graphicData uri="http://schemas.openxmlformats.org/drawingml/2006/picture">
                <pic:pic>
                  <pic:nvPicPr>
                    <pic:cNvPr id="0" name="cycle.png"/>
                    <pic:cNvPicPr/>
                  </pic:nvPicPr>
                  <pic:blipFill>
                    <a:blip r:embed="rId10"/>
                    <a:stretch>
                      <a:fillRect/>
                    </a:stretch>
                  </pic:blipFill>
                  <pic:spPr>
                    <a:xfrm>
                      <a:off x="0" y="0"/>
                      <a:ext cx="6126480" cy="3188636"/>
                    </a:xfrm>
                    <a:prstGeom prst="rect"/>
                  </pic:spPr>
                </pic:pic>
              </a:graphicData>
            </a:graphic>
          </wp:inline>
        </w:drawing>
      </w:r>
    </w:p>
    <w:p>
      <w:pPr>
        <w:pStyle w:val="Caption"/>
        <w:jc w:val="center"/>
      </w:pPr>
      <w:r>
        <w:t>Figure 3 — Le PAP et le RAP sont les deux extrémités d’une même boucle de pilotage.</w:t>
      </w:r>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trPr>
        <w:tc>
          <w:tcPr>
            <w:tcW w:type="dxa" w:w="1800"/>
            <w:shd w:fill="17365D"/>
            <w:vAlign w:val="center"/>
            <w:tcMar>
              <w:top w:w="120" w:type="dxa"/>
              <w:start w:w="110" w:type="dxa"/>
              <w:bottom w:w="120" w:type="dxa"/>
              <w:end w:w="110" w:type="dxa"/>
            </w:tcMar>
          </w:tcPr>
          <w:p>
            <w:pPr>
              <w:jc w:val="center"/>
            </w:pPr>
            <w:r>
              <w:rPr>
                <w:b/>
                <w:color w:val="FFFFFF"/>
                <w:sz w:val="16"/>
              </w:rPr>
              <w:t>Étape</w:t>
            </w:r>
          </w:p>
        </w:tc>
        <w:tc>
          <w:tcPr>
            <w:tcW w:type="dxa" w:w="2016"/>
            <w:shd w:fill="17365D"/>
            <w:vAlign w:val="center"/>
            <w:tcMar>
              <w:top w:w="120" w:type="dxa"/>
              <w:start w:w="110" w:type="dxa"/>
              <w:bottom w:w="120" w:type="dxa"/>
              <w:end w:w="110" w:type="dxa"/>
            </w:tcMar>
          </w:tcPr>
          <w:p>
            <w:pPr>
              <w:jc w:val="center"/>
            </w:pPr>
            <w:r>
              <w:rPr>
                <w:b/>
                <w:color w:val="FFFFFF"/>
                <w:sz w:val="16"/>
              </w:rPr>
              <w:t>Fonction</w:t>
            </w:r>
          </w:p>
        </w:tc>
        <w:tc>
          <w:tcPr>
            <w:tcW w:type="dxa" w:w="3600"/>
            <w:shd w:fill="17365D"/>
            <w:vAlign w:val="center"/>
            <w:tcMar>
              <w:top w:w="120" w:type="dxa"/>
              <w:start w:w="110" w:type="dxa"/>
              <w:bottom w:w="120" w:type="dxa"/>
              <w:end w:w="110" w:type="dxa"/>
            </w:tcMar>
          </w:tcPr>
          <w:p>
            <w:pPr>
              <w:jc w:val="center"/>
            </w:pPr>
            <w:r>
              <w:rPr>
                <w:b/>
                <w:color w:val="FFFFFF"/>
                <w:sz w:val="16"/>
              </w:rPr>
              <w:t>Question de gestion</w:t>
            </w:r>
          </w:p>
        </w:tc>
        <w:tc>
          <w:tcPr>
            <w:tcW w:type="dxa" w:w="3240"/>
            <w:shd w:fill="17365D"/>
            <w:vAlign w:val="center"/>
            <w:tcMar>
              <w:top w:w="120" w:type="dxa"/>
              <w:start w:w="110" w:type="dxa"/>
              <w:bottom w:w="120" w:type="dxa"/>
              <w:end w:w="110" w:type="dxa"/>
            </w:tcMar>
          </w:tcPr>
          <w:p>
            <w:pPr>
              <w:jc w:val="center"/>
            </w:pPr>
            <w:r>
              <w:rPr>
                <w:b/>
                <w:color w:val="FFFFFF"/>
                <w:sz w:val="16"/>
              </w:rPr>
              <w:t>Risque fréquent</w:t>
            </w:r>
          </w:p>
        </w:tc>
      </w:tr>
      <w:tr>
        <w:tc>
          <w:tcPr>
            <w:tcW w:type="dxa" w:w="1800"/>
            <w:vAlign w:val="center"/>
            <w:tcMar>
              <w:top w:w="100" w:type="dxa"/>
              <w:start w:w="100" w:type="dxa"/>
              <w:bottom w:w="100" w:type="dxa"/>
              <w:end w:w="100" w:type="dxa"/>
            </w:tcMar>
          </w:tcPr>
          <w:p>
            <w:pPr>
              <w:spacing w:after="0"/>
            </w:pPr>
            <w:r>
              <w:rPr>
                <w:rFonts w:ascii="Aptos" w:hAnsi="Aptos"/>
                <w:sz w:val="16"/>
              </w:rPr>
              <w:t>1. CDMT / CBMT / DPPD</w:t>
            </w:r>
          </w:p>
        </w:tc>
        <w:tc>
          <w:tcPr>
            <w:tcW w:type="dxa" w:w="2016"/>
            <w:vAlign w:val="center"/>
            <w:tcMar>
              <w:top w:w="100" w:type="dxa"/>
              <w:start w:w="100" w:type="dxa"/>
              <w:bottom w:w="100" w:type="dxa"/>
              <w:end w:w="100" w:type="dxa"/>
            </w:tcMar>
          </w:tcPr>
          <w:p>
            <w:pPr>
              <w:spacing w:after="0"/>
            </w:pPr>
            <w:r>
              <w:rPr>
                <w:rFonts w:ascii="Aptos" w:hAnsi="Aptos"/>
                <w:sz w:val="16"/>
              </w:rPr>
              <w:t>Cadre pluriannuel</w:t>
            </w:r>
          </w:p>
        </w:tc>
        <w:tc>
          <w:tcPr>
            <w:tcW w:type="dxa" w:w="3600"/>
            <w:vAlign w:val="center"/>
            <w:tcMar>
              <w:top w:w="100" w:type="dxa"/>
              <w:start w:w="100" w:type="dxa"/>
              <w:bottom w:w="100" w:type="dxa"/>
              <w:end w:w="100" w:type="dxa"/>
            </w:tcMar>
          </w:tcPr>
          <w:p>
            <w:pPr>
              <w:spacing w:after="0"/>
            </w:pPr>
            <w:r>
              <w:rPr>
                <w:rFonts w:ascii="Aptos" w:hAnsi="Aptos"/>
                <w:sz w:val="16"/>
              </w:rPr>
              <w:t>Traduire priorités et contraintes financières en trajectoire soutenable.</w:t>
            </w:r>
          </w:p>
        </w:tc>
        <w:tc>
          <w:tcPr>
            <w:tcW w:type="dxa" w:w="3240"/>
            <w:vAlign w:val="center"/>
            <w:tcMar>
              <w:top w:w="100" w:type="dxa"/>
              <w:start w:w="100" w:type="dxa"/>
              <w:bottom w:w="100" w:type="dxa"/>
              <w:end w:w="100" w:type="dxa"/>
            </w:tcMar>
          </w:tcPr>
          <w:p>
            <w:pPr>
              <w:spacing w:after="0"/>
            </w:pPr>
            <w:r>
              <w:rPr>
                <w:rFonts w:ascii="Aptos" w:hAnsi="Aptos"/>
                <w:sz w:val="16"/>
              </w:rPr>
              <w:t>Décalage entre ambition stratégique et ressources prévisibles.</w:t>
            </w:r>
          </w:p>
        </w:tc>
      </w:tr>
      <w:tr>
        <w:tc>
          <w:tcPr>
            <w:tcW w:type="dxa" w:w="1800"/>
            <w:vAlign w:val="center"/>
            <w:tcMar>
              <w:top w:w="100" w:type="dxa"/>
              <w:start w:w="100" w:type="dxa"/>
              <w:bottom w:w="100" w:type="dxa"/>
              <w:end w:w="100" w:type="dxa"/>
            </w:tcMar>
          </w:tcPr>
          <w:p>
            <w:pPr>
              <w:spacing w:after="0"/>
            </w:pPr>
            <w:r>
              <w:rPr>
                <w:rFonts w:ascii="Aptos" w:hAnsi="Aptos"/>
                <w:sz w:val="16"/>
              </w:rPr>
              <w:t>2. PAP</w:t>
            </w:r>
          </w:p>
        </w:tc>
        <w:tc>
          <w:tcPr>
            <w:tcW w:type="dxa" w:w="2016"/>
            <w:vAlign w:val="center"/>
            <w:tcMar>
              <w:top w:w="100" w:type="dxa"/>
              <w:start w:w="100" w:type="dxa"/>
              <w:bottom w:w="100" w:type="dxa"/>
              <w:end w:w="100" w:type="dxa"/>
            </w:tcMar>
          </w:tcPr>
          <w:p>
            <w:pPr>
              <w:spacing w:after="0"/>
            </w:pPr>
            <w:r>
              <w:rPr>
                <w:rFonts w:ascii="Aptos" w:hAnsi="Aptos"/>
                <w:sz w:val="16"/>
              </w:rPr>
              <w:t>Engagement ex ante</w:t>
            </w:r>
          </w:p>
        </w:tc>
        <w:tc>
          <w:tcPr>
            <w:tcW w:type="dxa" w:w="3600"/>
            <w:vAlign w:val="center"/>
            <w:tcMar>
              <w:top w:w="100" w:type="dxa"/>
              <w:start w:w="100" w:type="dxa"/>
              <w:bottom w:w="100" w:type="dxa"/>
              <w:end w:w="100" w:type="dxa"/>
            </w:tcMar>
          </w:tcPr>
          <w:p>
            <w:pPr>
              <w:spacing w:after="0"/>
            </w:pPr>
            <w:r>
              <w:rPr>
                <w:rFonts w:ascii="Aptos" w:hAnsi="Aptos"/>
                <w:sz w:val="16"/>
              </w:rPr>
              <w:t>Formaliser objectifs, indicateurs, cibles, risques, responsabilités et ressources.</w:t>
            </w:r>
          </w:p>
        </w:tc>
        <w:tc>
          <w:tcPr>
            <w:tcW w:type="dxa" w:w="3240"/>
            <w:vAlign w:val="center"/>
            <w:tcMar>
              <w:top w:w="100" w:type="dxa"/>
              <w:start w:w="100" w:type="dxa"/>
              <w:bottom w:w="100" w:type="dxa"/>
              <w:end w:w="100" w:type="dxa"/>
            </w:tcMar>
          </w:tcPr>
          <w:p>
            <w:pPr>
              <w:spacing w:after="0"/>
            </w:pPr>
            <w:r>
              <w:rPr>
                <w:rFonts w:ascii="Aptos" w:hAnsi="Aptos"/>
                <w:sz w:val="16"/>
              </w:rPr>
              <w:t>Cibles non documentées ou non reliées aux capacités.</w:t>
            </w:r>
          </w:p>
        </w:tc>
      </w:tr>
      <w:tr>
        <w:tc>
          <w:tcPr>
            <w:tcW w:type="dxa" w:w="1800"/>
            <w:vAlign w:val="center"/>
            <w:tcMar>
              <w:top w:w="100" w:type="dxa"/>
              <w:start w:w="100" w:type="dxa"/>
              <w:bottom w:w="100" w:type="dxa"/>
              <w:end w:w="100" w:type="dxa"/>
            </w:tcMar>
          </w:tcPr>
          <w:p>
            <w:pPr>
              <w:spacing w:after="0"/>
            </w:pPr>
            <w:r>
              <w:rPr>
                <w:rFonts w:ascii="Aptos" w:hAnsi="Aptos"/>
                <w:sz w:val="16"/>
              </w:rPr>
              <w:t>3. Exécution</w:t>
            </w:r>
          </w:p>
        </w:tc>
        <w:tc>
          <w:tcPr>
            <w:tcW w:type="dxa" w:w="2016"/>
            <w:vAlign w:val="center"/>
            <w:tcMar>
              <w:top w:w="100" w:type="dxa"/>
              <w:start w:w="100" w:type="dxa"/>
              <w:bottom w:w="100" w:type="dxa"/>
              <w:end w:w="100" w:type="dxa"/>
            </w:tcMar>
          </w:tcPr>
          <w:p>
            <w:pPr>
              <w:spacing w:after="0"/>
            </w:pPr>
            <w:r>
              <w:rPr>
                <w:rFonts w:ascii="Aptos" w:hAnsi="Aptos"/>
                <w:sz w:val="16"/>
              </w:rPr>
              <w:t>Pilotage infra-annuel</w:t>
            </w:r>
          </w:p>
        </w:tc>
        <w:tc>
          <w:tcPr>
            <w:tcW w:type="dxa" w:w="3600"/>
            <w:vAlign w:val="center"/>
            <w:tcMar>
              <w:top w:w="100" w:type="dxa"/>
              <w:start w:w="100" w:type="dxa"/>
              <w:bottom w:w="100" w:type="dxa"/>
              <w:end w:w="100" w:type="dxa"/>
            </w:tcMar>
          </w:tcPr>
          <w:p>
            <w:pPr>
              <w:spacing w:after="0"/>
            </w:pPr>
            <w:r>
              <w:rPr>
                <w:rFonts w:ascii="Aptos" w:hAnsi="Aptos"/>
                <w:sz w:val="16"/>
              </w:rPr>
              <w:t>Suivre réalisation physique, financière, risques et goulots.</w:t>
            </w:r>
          </w:p>
        </w:tc>
        <w:tc>
          <w:tcPr>
            <w:tcW w:type="dxa" w:w="3240"/>
            <w:vAlign w:val="center"/>
            <w:tcMar>
              <w:top w:w="100" w:type="dxa"/>
              <w:start w:w="100" w:type="dxa"/>
              <w:bottom w:w="100" w:type="dxa"/>
              <w:end w:w="100" w:type="dxa"/>
            </w:tcMar>
          </w:tcPr>
          <w:p>
            <w:pPr>
              <w:spacing w:after="0"/>
            </w:pPr>
            <w:r>
              <w:rPr>
                <w:rFonts w:ascii="Aptos" w:hAnsi="Aptos"/>
                <w:sz w:val="16"/>
              </w:rPr>
              <w:t>Reporting passif sans décision.</w:t>
            </w:r>
          </w:p>
        </w:tc>
      </w:tr>
      <w:tr>
        <w:tc>
          <w:tcPr>
            <w:tcW w:type="dxa" w:w="1800"/>
            <w:vAlign w:val="center"/>
            <w:tcMar>
              <w:top w:w="100" w:type="dxa"/>
              <w:start w:w="100" w:type="dxa"/>
              <w:bottom w:w="100" w:type="dxa"/>
              <w:end w:w="100" w:type="dxa"/>
            </w:tcMar>
          </w:tcPr>
          <w:p>
            <w:pPr>
              <w:spacing w:after="0"/>
            </w:pPr>
            <w:r>
              <w:rPr>
                <w:rFonts w:ascii="Aptos" w:hAnsi="Aptos"/>
                <w:sz w:val="16"/>
              </w:rPr>
              <w:t>4. Revue trimestrielle</w:t>
            </w:r>
          </w:p>
        </w:tc>
        <w:tc>
          <w:tcPr>
            <w:tcW w:type="dxa" w:w="2016"/>
            <w:vAlign w:val="center"/>
            <w:tcMar>
              <w:top w:w="100" w:type="dxa"/>
              <w:start w:w="100" w:type="dxa"/>
              <w:bottom w:w="100" w:type="dxa"/>
              <w:end w:w="100" w:type="dxa"/>
            </w:tcMar>
          </w:tcPr>
          <w:p>
            <w:pPr>
              <w:spacing w:after="0"/>
            </w:pPr>
            <w:r>
              <w:rPr>
                <w:rFonts w:ascii="Aptos" w:hAnsi="Aptos"/>
                <w:sz w:val="16"/>
              </w:rPr>
              <w:t>Dialogue de gestion</w:t>
            </w:r>
          </w:p>
        </w:tc>
        <w:tc>
          <w:tcPr>
            <w:tcW w:type="dxa" w:w="3600"/>
            <w:vAlign w:val="center"/>
            <w:tcMar>
              <w:top w:w="100" w:type="dxa"/>
              <w:start w:w="100" w:type="dxa"/>
              <w:bottom w:w="100" w:type="dxa"/>
              <w:end w:w="100" w:type="dxa"/>
            </w:tcMar>
          </w:tcPr>
          <w:p>
            <w:pPr>
              <w:spacing w:after="0"/>
            </w:pPr>
            <w:r>
              <w:rPr>
                <w:rFonts w:ascii="Aptos" w:hAnsi="Aptos"/>
                <w:sz w:val="16"/>
              </w:rPr>
              <w:t>Expliquer les écarts, valider les causes et arbitrer les corrections.</w:t>
            </w:r>
          </w:p>
        </w:tc>
        <w:tc>
          <w:tcPr>
            <w:tcW w:type="dxa" w:w="3240"/>
            <w:vAlign w:val="center"/>
            <w:tcMar>
              <w:top w:w="100" w:type="dxa"/>
              <w:start w:w="100" w:type="dxa"/>
              <w:bottom w:w="100" w:type="dxa"/>
              <w:end w:w="100" w:type="dxa"/>
            </w:tcMar>
          </w:tcPr>
          <w:p>
            <w:pPr>
              <w:spacing w:after="0"/>
            </w:pPr>
            <w:r>
              <w:rPr>
                <w:rFonts w:ascii="Aptos" w:hAnsi="Aptos"/>
                <w:sz w:val="16"/>
              </w:rPr>
              <w:t>Confondre symptôme, cause et responsabilité.</w:t>
            </w:r>
          </w:p>
        </w:tc>
      </w:tr>
      <w:tr>
        <w:tc>
          <w:tcPr>
            <w:tcW w:type="dxa" w:w="1800"/>
            <w:vAlign w:val="center"/>
            <w:tcMar>
              <w:top w:w="100" w:type="dxa"/>
              <w:start w:w="100" w:type="dxa"/>
              <w:bottom w:w="100" w:type="dxa"/>
              <w:end w:w="100" w:type="dxa"/>
            </w:tcMar>
          </w:tcPr>
          <w:p>
            <w:pPr>
              <w:spacing w:after="0"/>
            </w:pPr>
            <w:r>
              <w:rPr>
                <w:rFonts w:ascii="Aptos" w:hAnsi="Aptos"/>
                <w:sz w:val="16"/>
              </w:rPr>
              <w:t>5. RAP</w:t>
            </w:r>
          </w:p>
        </w:tc>
        <w:tc>
          <w:tcPr>
            <w:tcW w:type="dxa" w:w="2016"/>
            <w:vAlign w:val="center"/>
            <w:tcMar>
              <w:top w:w="100" w:type="dxa"/>
              <w:start w:w="100" w:type="dxa"/>
              <w:bottom w:w="100" w:type="dxa"/>
              <w:end w:w="100" w:type="dxa"/>
            </w:tcMar>
          </w:tcPr>
          <w:p>
            <w:pPr>
              <w:spacing w:after="0"/>
            </w:pPr>
            <w:r>
              <w:rPr>
                <w:rFonts w:ascii="Aptos" w:hAnsi="Aptos"/>
                <w:sz w:val="16"/>
              </w:rPr>
              <w:t>Redevabilité ex post</w:t>
            </w:r>
          </w:p>
        </w:tc>
        <w:tc>
          <w:tcPr>
            <w:tcW w:type="dxa" w:w="3600"/>
            <w:vAlign w:val="center"/>
            <w:tcMar>
              <w:top w:w="100" w:type="dxa"/>
              <w:start w:w="100" w:type="dxa"/>
              <w:bottom w:w="100" w:type="dxa"/>
              <w:end w:w="100" w:type="dxa"/>
            </w:tcMar>
          </w:tcPr>
          <w:p>
            <w:pPr>
              <w:spacing w:after="0"/>
            </w:pPr>
            <w:r>
              <w:rPr>
                <w:rFonts w:ascii="Aptos" w:hAnsi="Aptos"/>
                <w:sz w:val="16"/>
              </w:rPr>
              <w:t>Confronter prévision/réalisation et tirer les leçons.</w:t>
            </w:r>
          </w:p>
        </w:tc>
        <w:tc>
          <w:tcPr>
            <w:tcW w:type="dxa" w:w="3240"/>
            <w:vAlign w:val="center"/>
            <w:tcMar>
              <w:top w:w="100" w:type="dxa"/>
              <w:start w:w="100" w:type="dxa"/>
              <w:bottom w:w="100" w:type="dxa"/>
              <w:end w:w="100" w:type="dxa"/>
            </w:tcMar>
          </w:tcPr>
          <w:p>
            <w:pPr>
              <w:spacing w:after="0"/>
            </w:pPr>
            <w:r>
              <w:rPr>
                <w:rFonts w:ascii="Aptos" w:hAnsi="Aptos"/>
                <w:sz w:val="16"/>
              </w:rPr>
              <w:t>Justification a posteriori sans apprentissage.</w:t>
            </w:r>
          </w:p>
        </w:tc>
      </w:tr>
      <w:tr>
        <w:tc>
          <w:tcPr>
            <w:tcW w:type="dxa" w:w="1800"/>
            <w:vAlign w:val="center"/>
            <w:tcMar>
              <w:top w:w="100" w:type="dxa"/>
              <w:start w:w="100" w:type="dxa"/>
              <w:bottom w:w="100" w:type="dxa"/>
              <w:end w:w="100" w:type="dxa"/>
            </w:tcMar>
          </w:tcPr>
          <w:p>
            <w:pPr>
              <w:spacing w:after="0"/>
            </w:pPr>
            <w:r>
              <w:rPr>
                <w:rFonts w:ascii="Aptos" w:hAnsi="Aptos"/>
                <w:sz w:val="16"/>
              </w:rPr>
              <w:t>6. Boucle N+1</w:t>
            </w:r>
          </w:p>
        </w:tc>
        <w:tc>
          <w:tcPr>
            <w:tcW w:type="dxa" w:w="2016"/>
            <w:vAlign w:val="center"/>
            <w:tcMar>
              <w:top w:w="100" w:type="dxa"/>
              <w:start w:w="100" w:type="dxa"/>
              <w:bottom w:w="100" w:type="dxa"/>
              <w:end w:w="100" w:type="dxa"/>
            </w:tcMar>
          </w:tcPr>
          <w:p>
            <w:pPr>
              <w:spacing w:after="0"/>
            </w:pPr>
            <w:r>
              <w:rPr>
                <w:rFonts w:ascii="Aptos" w:hAnsi="Aptos"/>
                <w:sz w:val="16"/>
              </w:rPr>
              <w:t>Apprentissage</w:t>
            </w:r>
          </w:p>
        </w:tc>
        <w:tc>
          <w:tcPr>
            <w:tcW w:type="dxa" w:w="3600"/>
            <w:vAlign w:val="center"/>
            <w:tcMar>
              <w:top w:w="100" w:type="dxa"/>
              <w:start w:w="100" w:type="dxa"/>
              <w:bottom w:w="100" w:type="dxa"/>
              <w:end w:w="100" w:type="dxa"/>
            </w:tcMar>
          </w:tcPr>
          <w:p>
            <w:pPr>
              <w:spacing w:after="0"/>
            </w:pPr>
            <w:r>
              <w:rPr>
                <w:rFonts w:ascii="Aptos" w:hAnsi="Aptos"/>
                <w:sz w:val="16"/>
              </w:rPr>
              <w:t>Ajuster ressources, procédures, cibles et capacités.</w:t>
            </w:r>
          </w:p>
        </w:tc>
        <w:tc>
          <w:tcPr>
            <w:tcW w:type="dxa" w:w="3240"/>
            <w:vAlign w:val="center"/>
            <w:tcMar>
              <w:top w:w="100" w:type="dxa"/>
              <w:start w:w="100" w:type="dxa"/>
              <w:bottom w:w="100" w:type="dxa"/>
              <w:end w:w="100" w:type="dxa"/>
            </w:tcMar>
          </w:tcPr>
          <w:p>
            <w:pPr>
              <w:spacing w:after="0"/>
            </w:pPr>
            <w:r>
              <w:rPr>
                <w:rFonts w:ascii="Aptos" w:hAnsi="Aptos"/>
                <w:sz w:val="16"/>
              </w:rPr>
              <w:t>Reconduction mécanique du cycle précédent.</w:t>
            </w:r>
          </w:p>
        </w:tc>
      </w:tr>
    </w:tbl>
    <w:p/>
    <w:p>
      <w:pPr>
        <w:pStyle w:val="Heading2"/>
        <w:keepNext/>
      </w:pPr>
      <w:r>
        <w:t>2.1 Canevas consolidé du PAP</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2160"/>
            <w:shd w:fill="17365D"/>
            <w:vAlign w:val="center"/>
            <w:tcMar>
              <w:top w:w="120" w:type="dxa"/>
              <w:start w:w="110" w:type="dxa"/>
              <w:bottom w:w="120" w:type="dxa"/>
              <w:end w:w="110" w:type="dxa"/>
            </w:tcMar>
          </w:tcPr>
          <w:p>
            <w:pPr>
              <w:jc w:val="center"/>
            </w:pPr>
            <w:r>
              <w:rPr>
                <w:b/>
                <w:color w:val="FFFFFF"/>
                <w:sz w:val="17"/>
              </w:rPr>
              <w:t>Bloc</w:t>
            </w:r>
          </w:p>
        </w:tc>
        <w:tc>
          <w:tcPr>
            <w:tcW w:type="dxa" w:w="4896"/>
            <w:shd w:fill="17365D"/>
            <w:vAlign w:val="center"/>
            <w:tcMar>
              <w:top w:w="120" w:type="dxa"/>
              <w:start w:w="110" w:type="dxa"/>
              <w:bottom w:w="120" w:type="dxa"/>
              <w:end w:w="110" w:type="dxa"/>
            </w:tcMar>
          </w:tcPr>
          <w:p>
            <w:pPr>
              <w:jc w:val="center"/>
            </w:pPr>
            <w:r>
              <w:rPr>
                <w:b/>
                <w:color w:val="FFFFFF"/>
                <w:sz w:val="17"/>
              </w:rPr>
              <w:t>Contenu minimal</w:t>
            </w:r>
          </w:p>
        </w:tc>
        <w:tc>
          <w:tcPr>
            <w:tcW w:type="dxa" w:w="3600"/>
            <w:shd w:fill="17365D"/>
            <w:vAlign w:val="center"/>
            <w:tcMar>
              <w:top w:w="120" w:type="dxa"/>
              <w:start w:w="110" w:type="dxa"/>
              <w:bottom w:w="120" w:type="dxa"/>
              <w:end w:w="110" w:type="dxa"/>
            </w:tcMar>
          </w:tcPr>
          <w:p>
            <w:pPr>
              <w:jc w:val="center"/>
            </w:pPr>
            <w:r>
              <w:rPr>
                <w:b/>
                <w:color w:val="FFFFFF"/>
                <w:sz w:val="17"/>
              </w:rPr>
              <w:t>Question de validation</w:t>
            </w:r>
          </w:p>
        </w:tc>
      </w:tr>
      <w:tr>
        <w:tc>
          <w:tcPr>
            <w:tcW w:type="dxa" w:w="2160"/>
            <w:vAlign w:val="center"/>
            <w:tcMar>
              <w:top w:w="100" w:type="dxa"/>
              <w:start w:w="100" w:type="dxa"/>
              <w:bottom w:w="100" w:type="dxa"/>
              <w:end w:w="100" w:type="dxa"/>
            </w:tcMar>
          </w:tcPr>
          <w:p>
            <w:pPr>
              <w:spacing w:after="0"/>
            </w:pPr>
            <w:r>
              <w:rPr>
                <w:rFonts w:ascii="Aptos" w:hAnsi="Aptos"/>
                <w:sz w:val="17"/>
              </w:rPr>
              <w:t>Mandat &amp; problème public</w:t>
            </w:r>
          </w:p>
        </w:tc>
        <w:tc>
          <w:tcPr>
            <w:tcW w:type="dxa" w:w="4896"/>
            <w:vAlign w:val="center"/>
            <w:tcMar>
              <w:top w:w="100" w:type="dxa"/>
              <w:start w:w="100" w:type="dxa"/>
              <w:bottom w:w="100" w:type="dxa"/>
              <w:end w:w="100" w:type="dxa"/>
            </w:tcMar>
          </w:tcPr>
          <w:p>
            <w:pPr>
              <w:spacing w:after="0"/>
            </w:pPr>
            <w:r>
              <w:rPr>
                <w:rFonts w:ascii="Aptos" w:hAnsi="Aptos"/>
                <w:sz w:val="17"/>
              </w:rPr>
              <w:t>Mandat, bénéficiaires, diagnostic, données de cadrage, alignement national/sectoriel.</w:t>
            </w:r>
          </w:p>
        </w:tc>
        <w:tc>
          <w:tcPr>
            <w:tcW w:type="dxa" w:w="3600"/>
            <w:vAlign w:val="center"/>
            <w:tcMar>
              <w:top w:w="100" w:type="dxa"/>
              <w:start w:w="100" w:type="dxa"/>
              <w:bottom w:w="100" w:type="dxa"/>
              <w:end w:w="100" w:type="dxa"/>
            </w:tcMar>
          </w:tcPr>
          <w:p>
            <w:pPr>
              <w:spacing w:after="0"/>
            </w:pPr>
            <w:r>
              <w:rPr>
                <w:rFonts w:ascii="Aptos" w:hAnsi="Aptos"/>
                <w:sz w:val="17"/>
              </w:rPr>
              <w:t>Le problème est-il suffisamment défini pour justifier l’intervention ?</w:t>
            </w:r>
          </w:p>
        </w:tc>
      </w:tr>
      <w:tr>
        <w:tc>
          <w:tcPr>
            <w:tcW w:type="dxa" w:w="2160"/>
            <w:vAlign w:val="center"/>
            <w:tcMar>
              <w:top w:w="100" w:type="dxa"/>
              <w:start w:w="100" w:type="dxa"/>
              <w:bottom w:w="100" w:type="dxa"/>
              <w:end w:w="100" w:type="dxa"/>
            </w:tcMar>
          </w:tcPr>
          <w:p>
            <w:pPr>
              <w:spacing w:after="0"/>
            </w:pPr>
            <w:r>
              <w:rPr>
                <w:rFonts w:ascii="Aptos" w:hAnsi="Aptos"/>
                <w:sz w:val="17"/>
              </w:rPr>
              <w:t>Chaîne de résultats</w:t>
            </w:r>
          </w:p>
        </w:tc>
        <w:tc>
          <w:tcPr>
            <w:tcW w:type="dxa" w:w="4896"/>
            <w:vAlign w:val="center"/>
            <w:tcMar>
              <w:top w:w="100" w:type="dxa"/>
              <w:start w:w="100" w:type="dxa"/>
              <w:bottom w:w="100" w:type="dxa"/>
              <w:end w:w="100" w:type="dxa"/>
            </w:tcMar>
          </w:tcPr>
          <w:p>
            <w:pPr>
              <w:spacing w:after="0"/>
            </w:pPr>
            <w:r>
              <w:rPr>
                <w:rFonts w:ascii="Aptos" w:hAnsi="Aptos"/>
                <w:sz w:val="17"/>
              </w:rPr>
              <w:t>Ressources, activités, produits, effets et impacts.</w:t>
            </w:r>
          </w:p>
        </w:tc>
        <w:tc>
          <w:tcPr>
            <w:tcW w:type="dxa" w:w="3600"/>
            <w:vAlign w:val="center"/>
            <w:tcMar>
              <w:top w:w="100" w:type="dxa"/>
              <w:start w:w="100" w:type="dxa"/>
              <w:bottom w:w="100" w:type="dxa"/>
              <w:end w:w="100" w:type="dxa"/>
            </w:tcMar>
          </w:tcPr>
          <w:p>
            <w:pPr>
              <w:spacing w:after="0"/>
            </w:pPr>
            <w:r>
              <w:rPr>
                <w:rFonts w:ascii="Aptos" w:hAnsi="Aptos"/>
                <w:sz w:val="17"/>
              </w:rPr>
              <w:t>Le lien entre production administrative et changement attendu est-il plausible ?</w:t>
            </w:r>
          </w:p>
        </w:tc>
      </w:tr>
      <w:tr>
        <w:tc>
          <w:tcPr>
            <w:tcW w:type="dxa" w:w="2160"/>
            <w:vAlign w:val="center"/>
            <w:tcMar>
              <w:top w:w="100" w:type="dxa"/>
              <w:start w:w="100" w:type="dxa"/>
              <w:bottom w:w="100" w:type="dxa"/>
              <w:end w:w="100" w:type="dxa"/>
            </w:tcMar>
          </w:tcPr>
          <w:p>
            <w:pPr>
              <w:spacing w:after="0"/>
            </w:pPr>
            <w:r>
              <w:rPr>
                <w:rFonts w:ascii="Aptos" w:hAnsi="Aptos"/>
                <w:sz w:val="17"/>
              </w:rPr>
              <w:t>KPI &amp; cibles</w:t>
            </w:r>
          </w:p>
        </w:tc>
        <w:tc>
          <w:tcPr>
            <w:tcW w:type="dxa" w:w="4896"/>
            <w:vAlign w:val="center"/>
            <w:tcMar>
              <w:top w:w="100" w:type="dxa"/>
              <w:start w:w="100" w:type="dxa"/>
              <w:bottom w:w="100" w:type="dxa"/>
              <w:end w:w="100" w:type="dxa"/>
            </w:tcMar>
          </w:tcPr>
          <w:p>
            <w:pPr>
              <w:spacing w:after="0"/>
            </w:pPr>
            <w:r>
              <w:rPr>
                <w:rFonts w:ascii="Aptos" w:hAnsi="Aptos"/>
                <w:sz w:val="17"/>
              </w:rPr>
              <w:t>Baseline, formule, unité, cible N à N+2, fréquence, source.</w:t>
            </w:r>
          </w:p>
        </w:tc>
        <w:tc>
          <w:tcPr>
            <w:tcW w:type="dxa" w:w="3600"/>
            <w:vAlign w:val="center"/>
            <w:tcMar>
              <w:top w:w="100" w:type="dxa"/>
              <w:start w:w="100" w:type="dxa"/>
              <w:bottom w:w="100" w:type="dxa"/>
              <w:end w:w="100" w:type="dxa"/>
            </w:tcMar>
          </w:tcPr>
          <w:p>
            <w:pPr>
              <w:spacing w:after="0"/>
            </w:pPr>
            <w:r>
              <w:rPr>
                <w:rFonts w:ascii="Aptos" w:hAnsi="Aptos"/>
                <w:sz w:val="17"/>
              </w:rPr>
              <w:t>La cible est-elle mesurable, soutenable et liée à une source fiable ?</w:t>
            </w:r>
          </w:p>
        </w:tc>
      </w:tr>
      <w:tr>
        <w:tc>
          <w:tcPr>
            <w:tcW w:type="dxa" w:w="2160"/>
            <w:vAlign w:val="center"/>
            <w:tcMar>
              <w:top w:w="100" w:type="dxa"/>
              <w:start w:w="100" w:type="dxa"/>
              <w:bottom w:w="100" w:type="dxa"/>
              <w:end w:w="100" w:type="dxa"/>
            </w:tcMar>
          </w:tcPr>
          <w:p>
            <w:pPr>
              <w:spacing w:after="0"/>
            </w:pPr>
            <w:r>
              <w:rPr>
                <w:rFonts w:ascii="Aptos" w:hAnsi="Aptos"/>
                <w:sz w:val="17"/>
              </w:rPr>
              <w:t>Risques &amp; KRI</w:t>
            </w:r>
          </w:p>
        </w:tc>
        <w:tc>
          <w:tcPr>
            <w:tcW w:type="dxa" w:w="4896"/>
            <w:vAlign w:val="center"/>
            <w:tcMar>
              <w:top w:w="100" w:type="dxa"/>
              <w:start w:w="100" w:type="dxa"/>
              <w:bottom w:w="100" w:type="dxa"/>
              <w:end w:w="100" w:type="dxa"/>
            </w:tcMar>
          </w:tcPr>
          <w:p>
            <w:pPr>
              <w:spacing w:after="0"/>
            </w:pPr>
            <w:r>
              <w:rPr>
                <w:rFonts w:ascii="Aptos" w:hAnsi="Aptos"/>
                <w:sz w:val="17"/>
              </w:rPr>
              <w:t>Risque critique, cause, seuil d’alerte, mitigation, propriétaire.</w:t>
            </w:r>
          </w:p>
        </w:tc>
        <w:tc>
          <w:tcPr>
            <w:tcW w:type="dxa" w:w="3600"/>
            <w:vAlign w:val="center"/>
            <w:tcMar>
              <w:top w:w="100" w:type="dxa"/>
              <w:start w:w="100" w:type="dxa"/>
              <w:bottom w:w="100" w:type="dxa"/>
              <w:end w:w="100" w:type="dxa"/>
            </w:tcMar>
          </w:tcPr>
          <w:p>
            <w:pPr>
              <w:spacing w:after="0"/>
            </w:pPr>
            <w:r>
              <w:rPr>
                <w:rFonts w:ascii="Aptos" w:hAnsi="Aptos"/>
                <w:sz w:val="17"/>
              </w:rPr>
              <w:t>Qu’est-ce qui peut empêcher le résultat et comment le détecter tôt ?</w:t>
            </w:r>
          </w:p>
        </w:tc>
      </w:tr>
      <w:tr>
        <w:tc>
          <w:tcPr>
            <w:tcW w:type="dxa" w:w="2160"/>
            <w:vAlign w:val="center"/>
            <w:tcMar>
              <w:top w:w="100" w:type="dxa"/>
              <w:start w:w="100" w:type="dxa"/>
              <w:bottom w:w="100" w:type="dxa"/>
              <w:end w:w="100" w:type="dxa"/>
            </w:tcMar>
          </w:tcPr>
          <w:p>
            <w:pPr>
              <w:spacing w:after="0"/>
            </w:pPr>
            <w:r>
              <w:rPr>
                <w:rFonts w:ascii="Aptos" w:hAnsi="Aptos"/>
                <w:sz w:val="17"/>
              </w:rPr>
              <w:t>Ressources &amp; capacités</w:t>
            </w:r>
          </w:p>
        </w:tc>
        <w:tc>
          <w:tcPr>
            <w:tcW w:type="dxa" w:w="4896"/>
            <w:vAlign w:val="center"/>
            <w:tcMar>
              <w:top w:w="100" w:type="dxa"/>
              <w:start w:w="100" w:type="dxa"/>
              <w:bottom w:w="100" w:type="dxa"/>
              <w:end w:w="100" w:type="dxa"/>
            </w:tcMar>
          </w:tcPr>
          <w:p>
            <w:pPr>
              <w:spacing w:after="0"/>
            </w:pPr>
            <w:r>
              <w:rPr>
                <w:rFonts w:ascii="Aptos" w:hAnsi="Aptos"/>
                <w:sz w:val="17"/>
              </w:rPr>
              <w:t>AE/CP, RH, SI, équipements, compétences, dépendances.</w:t>
            </w:r>
          </w:p>
        </w:tc>
        <w:tc>
          <w:tcPr>
            <w:tcW w:type="dxa" w:w="3600"/>
            <w:vAlign w:val="center"/>
            <w:tcMar>
              <w:top w:w="100" w:type="dxa"/>
              <w:start w:w="100" w:type="dxa"/>
              <w:bottom w:w="100" w:type="dxa"/>
              <w:end w:w="100" w:type="dxa"/>
            </w:tcMar>
          </w:tcPr>
          <w:p>
            <w:pPr>
              <w:spacing w:after="0"/>
            </w:pPr>
            <w:r>
              <w:rPr>
                <w:rFonts w:ascii="Aptos" w:hAnsi="Aptos"/>
                <w:sz w:val="17"/>
              </w:rPr>
              <w:t>Les capacités rendent-elles les objectifs effectivement atteignables ?</w:t>
            </w:r>
          </w:p>
        </w:tc>
      </w:tr>
    </w:tbl>
    <w:p/>
    <w:p>
      <w:pPr>
        <w:pStyle w:val="Heading2"/>
        <w:keepNext/>
      </w:pPr>
      <w:r>
        <w:t>2.2 Canevas consolidé du RAP</w:t>
      </w:r>
    </w:p>
    <w:tbl>
      <w:tblPr>
        <w:tblStyle w:val="TableGrid"/>
        <w:tblW w:type="auto" w:w="0"/>
        <w:jc w:val="center"/>
        <w:tblLook w:firstColumn="1" w:firstRow="1" w:lastColumn="0" w:lastRow="0" w:noHBand="0" w:noVBand="1" w:val="04A0"/>
      </w:tblPr>
      <w:tblGrid>
        <w:gridCol w:w="1680"/>
        <w:gridCol w:w="1680"/>
        <w:gridCol w:w="1680"/>
        <w:gridCol w:w="1680"/>
        <w:gridCol w:w="1680"/>
        <w:gridCol w:w="1680"/>
      </w:tblGrid>
      <w:tr>
        <w:trPr>
          <w:tblHeader w:val="true"/>
        </w:trPr>
        <w:tc>
          <w:tcPr>
            <w:tcW w:type="dxa" w:w="2880"/>
            <w:shd w:fill="17365D"/>
            <w:vAlign w:val="center"/>
            <w:tcMar>
              <w:top w:w="120" w:type="dxa"/>
              <w:start w:w="110" w:type="dxa"/>
              <w:bottom w:w="120" w:type="dxa"/>
              <w:end w:w="110" w:type="dxa"/>
            </w:tcMar>
          </w:tcPr>
          <w:p>
            <w:pPr>
              <w:jc w:val="center"/>
            </w:pPr>
            <w:r>
              <w:rPr>
                <w:b/>
                <w:color w:val="FFFFFF"/>
                <w:sz w:val="16"/>
              </w:rPr>
              <w:t>KPI</w:t>
            </w:r>
          </w:p>
        </w:tc>
        <w:tc>
          <w:tcPr>
            <w:tcW w:type="dxa" w:w="1440"/>
            <w:shd w:fill="17365D"/>
            <w:vAlign w:val="center"/>
            <w:tcMar>
              <w:top w:w="120" w:type="dxa"/>
              <w:start w:w="110" w:type="dxa"/>
              <w:bottom w:w="120" w:type="dxa"/>
              <w:end w:w="110" w:type="dxa"/>
            </w:tcMar>
          </w:tcPr>
          <w:p>
            <w:pPr>
              <w:jc w:val="center"/>
            </w:pPr>
            <w:r>
              <w:rPr>
                <w:b/>
                <w:color w:val="FFFFFF"/>
                <w:sz w:val="16"/>
              </w:rPr>
              <w:t>Cible PAP</w:t>
            </w:r>
          </w:p>
        </w:tc>
        <w:tc>
          <w:tcPr>
            <w:tcW w:type="dxa" w:w="1440"/>
            <w:shd w:fill="17365D"/>
            <w:vAlign w:val="center"/>
            <w:tcMar>
              <w:top w:w="120" w:type="dxa"/>
              <w:start w:w="110" w:type="dxa"/>
              <w:bottom w:w="120" w:type="dxa"/>
              <w:end w:w="110" w:type="dxa"/>
            </w:tcMar>
          </w:tcPr>
          <w:p>
            <w:pPr>
              <w:jc w:val="center"/>
            </w:pPr>
            <w:r>
              <w:rPr>
                <w:b/>
                <w:color w:val="FFFFFF"/>
                <w:sz w:val="16"/>
              </w:rPr>
              <w:t>Réalisé RAP</w:t>
            </w:r>
          </w:p>
        </w:tc>
        <w:tc>
          <w:tcPr>
            <w:tcW w:type="dxa" w:w="1440"/>
            <w:shd w:fill="17365D"/>
            <w:vAlign w:val="center"/>
            <w:tcMar>
              <w:top w:w="120" w:type="dxa"/>
              <w:start w:w="110" w:type="dxa"/>
              <w:bottom w:w="120" w:type="dxa"/>
              <w:end w:w="110" w:type="dxa"/>
            </w:tcMar>
          </w:tcPr>
          <w:p>
            <w:pPr>
              <w:jc w:val="center"/>
            </w:pPr>
            <w:r>
              <w:rPr>
                <w:b/>
                <w:color w:val="FFFFFF"/>
                <w:sz w:val="16"/>
              </w:rPr>
              <w:t>Écart</w:t>
            </w:r>
          </w:p>
        </w:tc>
        <w:tc>
          <w:tcPr>
            <w:tcW w:type="dxa" w:w="1800"/>
            <w:shd w:fill="17365D"/>
            <w:vAlign w:val="center"/>
            <w:tcMar>
              <w:top w:w="120" w:type="dxa"/>
              <w:start w:w="110" w:type="dxa"/>
              <w:bottom w:w="120" w:type="dxa"/>
              <w:end w:w="110" w:type="dxa"/>
            </w:tcMar>
          </w:tcPr>
          <w:p>
            <w:pPr>
              <w:jc w:val="center"/>
            </w:pPr>
            <w:r>
              <w:rPr>
                <w:b/>
                <w:color w:val="FFFFFF"/>
                <w:sz w:val="16"/>
              </w:rPr>
              <w:t>Statut</w:t>
            </w:r>
          </w:p>
        </w:tc>
        <w:tc>
          <w:tcPr>
            <w:tcW w:type="dxa" w:w="2880"/>
            <w:shd w:fill="17365D"/>
            <w:vAlign w:val="center"/>
            <w:tcMar>
              <w:top w:w="120" w:type="dxa"/>
              <w:start w:w="110" w:type="dxa"/>
              <w:bottom w:w="120" w:type="dxa"/>
              <w:end w:w="110" w:type="dxa"/>
            </w:tcMar>
          </w:tcPr>
          <w:p>
            <w:pPr>
              <w:jc w:val="center"/>
            </w:pPr>
            <w:r>
              <w:rPr>
                <w:b/>
                <w:color w:val="FFFFFF"/>
                <w:sz w:val="16"/>
              </w:rPr>
              <w:t>Preuve</w:t>
            </w:r>
          </w:p>
        </w:tc>
      </w:tr>
      <w:tr>
        <w:tc>
          <w:tcPr>
            <w:tcW w:type="dxa" w:w="2880"/>
            <w:vAlign w:val="center"/>
            <w:tcMar>
              <w:top w:w="100" w:type="dxa"/>
              <w:start w:w="100" w:type="dxa"/>
              <w:bottom w:w="100" w:type="dxa"/>
              <w:end w:w="100" w:type="dxa"/>
            </w:tcMar>
          </w:tcPr>
          <w:p>
            <w:pPr>
              <w:spacing w:after="0"/>
            </w:pPr>
            <w:r>
              <w:rPr>
                <w:rFonts w:ascii="Aptos" w:hAnsi="Aptos"/>
                <w:sz w:val="16"/>
              </w:rPr>
              <w:t>Délai moyen de délivrance</w:t>
            </w:r>
          </w:p>
        </w:tc>
        <w:tc>
          <w:tcPr>
            <w:tcW w:type="dxa" w:w="1440"/>
            <w:vAlign w:val="center"/>
            <w:tcMar>
              <w:top w:w="100" w:type="dxa"/>
              <w:start w:w="100" w:type="dxa"/>
              <w:bottom w:w="100" w:type="dxa"/>
              <w:end w:w="100" w:type="dxa"/>
            </w:tcMar>
          </w:tcPr>
          <w:p>
            <w:pPr>
              <w:spacing w:after="0"/>
            </w:pPr>
            <w:r>
              <w:rPr>
                <w:rFonts w:ascii="Aptos" w:hAnsi="Aptos"/>
                <w:sz w:val="16"/>
              </w:rPr>
              <w:t>30 j</w:t>
            </w:r>
          </w:p>
        </w:tc>
        <w:tc>
          <w:tcPr>
            <w:tcW w:type="dxa" w:w="1440"/>
            <w:vAlign w:val="center"/>
            <w:tcMar>
              <w:top w:w="100" w:type="dxa"/>
              <w:start w:w="100" w:type="dxa"/>
              <w:bottom w:w="100" w:type="dxa"/>
              <w:end w:w="100" w:type="dxa"/>
            </w:tcMar>
          </w:tcPr>
          <w:p>
            <w:pPr>
              <w:spacing w:after="0"/>
            </w:pPr>
            <w:r>
              <w:rPr>
                <w:rFonts w:ascii="Aptos" w:hAnsi="Aptos"/>
                <w:sz w:val="16"/>
              </w:rPr>
              <w:t>42 j</w:t>
            </w:r>
          </w:p>
        </w:tc>
        <w:tc>
          <w:tcPr>
            <w:tcW w:type="dxa" w:w="1440"/>
            <w:vAlign w:val="center"/>
            <w:tcMar>
              <w:top w:w="100" w:type="dxa"/>
              <w:start w:w="100" w:type="dxa"/>
              <w:bottom w:w="100" w:type="dxa"/>
              <w:end w:w="100" w:type="dxa"/>
            </w:tcMar>
          </w:tcPr>
          <w:p>
            <w:pPr>
              <w:spacing w:after="0"/>
            </w:pPr>
            <w:r>
              <w:rPr>
                <w:rFonts w:ascii="Aptos" w:hAnsi="Aptos"/>
                <w:sz w:val="16"/>
              </w:rPr>
              <w:t>+12 j</w:t>
            </w:r>
          </w:p>
        </w:tc>
        <w:tc>
          <w:tcPr>
            <w:tcW w:type="dxa" w:w="1800"/>
            <w:vAlign w:val="center"/>
            <w:tcMar>
              <w:top w:w="100" w:type="dxa"/>
              <w:start w:w="100" w:type="dxa"/>
              <w:bottom w:w="100" w:type="dxa"/>
              <w:end w:w="100" w:type="dxa"/>
            </w:tcMar>
          </w:tcPr>
          <w:p>
            <w:pPr>
              <w:spacing w:after="0"/>
            </w:pPr>
            <w:r>
              <w:rPr>
                <w:rFonts w:ascii="Aptos" w:hAnsi="Aptos"/>
                <w:sz w:val="16"/>
              </w:rPr>
              <w:t>Non atteint</w:t>
            </w:r>
          </w:p>
        </w:tc>
        <w:tc>
          <w:tcPr>
            <w:tcW w:type="dxa" w:w="2880"/>
            <w:vAlign w:val="center"/>
            <w:tcMar>
              <w:top w:w="100" w:type="dxa"/>
              <w:start w:w="100" w:type="dxa"/>
              <w:bottom w:w="100" w:type="dxa"/>
              <w:end w:w="100" w:type="dxa"/>
            </w:tcMar>
          </w:tcPr>
          <w:p>
            <w:pPr>
              <w:spacing w:after="0"/>
            </w:pPr>
            <w:r>
              <w:rPr>
                <w:rFonts w:ascii="Aptos" w:hAnsi="Aptos"/>
                <w:sz w:val="16"/>
              </w:rPr>
              <w:t>Logs SI horodatés</w:t>
            </w:r>
          </w:p>
        </w:tc>
      </w:tr>
      <w:tr>
        <w:tc>
          <w:tcPr>
            <w:tcW w:type="dxa" w:w="2880"/>
            <w:vAlign w:val="center"/>
            <w:tcMar>
              <w:top w:w="100" w:type="dxa"/>
              <w:start w:w="100" w:type="dxa"/>
              <w:bottom w:w="100" w:type="dxa"/>
              <w:end w:w="100" w:type="dxa"/>
            </w:tcMar>
          </w:tcPr>
          <w:p>
            <w:pPr>
              <w:spacing w:after="0"/>
            </w:pPr>
            <w:r>
              <w:rPr>
                <w:rFonts w:ascii="Aptos" w:hAnsi="Aptos"/>
                <w:sz w:val="16"/>
              </w:rPr>
              <w:t>Taux de conformité des audits</w:t>
            </w:r>
          </w:p>
        </w:tc>
        <w:tc>
          <w:tcPr>
            <w:tcW w:type="dxa" w:w="1440"/>
            <w:vAlign w:val="center"/>
            <w:tcMar>
              <w:top w:w="100" w:type="dxa"/>
              <w:start w:w="100" w:type="dxa"/>
              <w:bottom w:w="100" w:type="dxa"/>
              <w:end w:w="100" w:type="dxa"/>
            </w:tcMar>
          </w:tcPr>
          <w:p>
            <w:pPr>
              <w:spacing w:after="0"/>
            </w:pPr>
            <w:r>
              <w:rPr>
                <w:rFonts w:ascii="Aptos" w:hAnsi="Aptos"/>
                <w:sz w:val="16"/>
              </w:rPr>
              <w:t>85 %</w:t>
            </w:r>
          </w:p>
        </w:tc>
        <w:tc>
          <w:tcPr>
            <w:tcW w:type="dxa" w:w="1440"/>
            <w:vAlign w:val="center"/>
            <w:tcMar>
              <w:top w:w="100" w:type="dxa"/>
              <w:start w:w="100" w:type="dxa"/>
              <w:bottom w:w="100" w:type="dxa"/>
              <w:end w:w="100" w:type="dxa"/>
            </w:tcMar>
          </w:tcPr>
          <w:p>
            <w:pPr>
              <w:spacing w:after="0"/>
            </w:pPr>
            <w:r>
              <w:rPr>
                <w:rFonts w:ascii="Aptos" w:hAnsi="Aptos"/>
                <w:sz w:val="16"/>
              </w:rPr>
              <w:t>96,5 %</w:t>
            </w:r>
          </w:p>
        </w:tc>
        <w:tc>
          <w:tcPr>
            <w:tcW w:type="dxa" w:w="1440"/>
            <w:vAlign w:val="center"/>
            <w:tcMar>
              <w:top w:w="100" w:type="dxa"/>
              <w:start w:w="100" w:type="dxa"/>
              <w:bottom w:w="100" w:type="dxa"/>
              <w:end w:w="100" w:type="dxa"/>
            </w:tcMar>
          </w:tcPr>
          <w:p>
            <w:pPr>
              <w:spacing w:after="0"/>
            </w:pPr>
            <w:r>
              <w:rPr>
                <w:rFonts w:ascii="Aptos" w:hAnsi="Aptos"/>
                <w:sz w:val="16"/>
              </w:rPr>
              <w:t>+11,5 pts</w:t>
            </w:r>
          </w:p>
        </w:tc>
        <w:tc>
          <w:tcPr>
            <w:tcW w:type="dxa" w:w="1800"/>
            <w:vAlign w:val="center"/>
            <w:tcMar>
              <w:top w:w="100" w:type="dxa"/>
              <w:start w:w="100" w:type="dxa"/>
              <w:bottom w:w="100" w:type="dxa"/>
              <w:end w:w="100" w:type="dxa"/>
            </w:tcMar>
          </w:tcPr>
          <w:p>
            <w:pPr>
              <w:spacing w:after="0"/>
            </w:pPr>
            <w:r>
              <w:rPr>
                <w:rFonts w:ascii="Aptos" w:hAnsi="Aptos"/>
                <w:sz w:val="16"/>
              </w:rPr>
              <w:t>Dépassé</w:t>
            </w:r>
          </w:p>
        </w:tc>
        <w:tc>
          <w:tcPr>
            <w:tcW w:type="dxa" w:w="2880"/>
            <w:vAlign w:val="center"/>
            <w:tcMar>
              <w:top w:w="100" w:type="dxa"/>
              <w:start w:w="100" w:type="dxa"/>
              <w:bottom w:w="100" w:type="dxa"/>
              <w:end w:w="100" w:type="dxa"/>
            </w:tcMar>
          </w:tcPr>
          <w:p>
            <w:pPr>
              <w:spacing w:after="0"/>
            </w:pPr>
            <w:r>
              <w:rPr>
                <w:rFonts w:ascii="Aptos" w:hAnsi="Aptos"/>
                <w:sz w:val="16"/>
              </w:rPr>
              <w:t>Rapport audit interne</w:t>
            </w:r>
          </w:p>
        </w:tc>
      </w:tr>
      <w:tr>
        <w:tc>
          <w:tcPr>
            <w:tcW w:type="dxa" w:w="2880"/>
            <w:vAlign w:val="center"/>
            <w:tcMar>
              <w:top w:w="100" w:type="dxa"/>
              <w:start w:w="100" w:type="dxa"/>
              <w:bottom w:w="100" w:type="dxa"/>
              <w:end w:w="100" w:type="dxa"/>
            </w:tcMar>
          </w:tcPr>
          <w:p>
            <w:pPr>
              <w:spacing w:after="0"/>
            </w:pPr>
            <w:r>
              <w:rPr>
                <w:rFonts w:ascii="Aptos" w:hAnsi="Aptos"/>
                <w:sz w:val="16"/>
              </w:rPr>
              <w:t>Taux de couverture usagers</w:t>
            </w:r>
          </w:p>
        </w:tc>
        <w:tc>
          <w:tcPr>
            <w:tcW w:type="dxa" w:w="1440"/>
            <w:vAlign w:val="center"/>
            <w:tcMar>
              <w:top w:w="100" w:type="dxa"/>
              <w:start w:w="100" w:type="dxa"/>
              <w:bottom w:w="100" w:type="dxa"/>
              <w:end w:w="100" w:type="dxa"/>
            </w:tcMar>
          </w:tcPr>
          <w:p>
            <w:pPr>
              <w:spacing w:after="0"/>
            </w:pPr>
            <w:r>
              <w:rPr>
                <w:rFonts w:ascii="Aptos" w:hAnsi="Aptos"/>
                <w:sz w:val="16"/>
              </w:rPr>
              <w:t>85 %</w:t>
            </w:r>
          </w:p>
        </w:tc>
        <w:tc>
          <w:tcPr>
            <w:tcW w:type="dxa" w:w="1440"/>
            <w:vAlign w:val="center"/>
            <w:tcMar>
              <w:top w:w="100" w:type="dxa"/>
              <w:start w:w="100" w:type="dxa"/>
              <w:bottom w:w="100" w:type="dxa"/>
              <w:end w:w="100" w:type="dxa"/>
            </w:tcMar>
          </w:tcPr>
          <w:p>
            <w:pPr>
              <w:spacing w:after="0"/>
            </w:pPr>
            <w:r>
              <w:rPr>
                <w:rFonts w:ascii="Aptos" w:hAnsi="Aptos"/>
                <w:sz w:val="16"/>
              </w:rPr>
              <w:t>58 %</w:t>
            </w:r>
          </w:p>
        </w:tc>
        <w:tc>
          <w:tcPr>
            <w:tcW w:type="dxa" w:w="1440"/>
            <w:vAlign w:val="center"/>
            <w:tcMar>
              <w:top w:w="100" w:type="dxa"/>
              <w:start w:w="100" w:type="dxa"/>
              <w:bottom w:w="100" w:type="dxa"/>
              <w:end w:w="100" w:type="dxa"/>
            </w:tcMar>
          </w:tcPr>
          <w:p>
            <w:pPr>
              <w:spacing w:after="0"/>
            </w:pPr>
            <w:r>
              <w:rPr>
                <w:rFonts w:ascii="Aptos" w:hAnsi="Aptos"/>
                <w:sz w:val="16"/>
              </w:rPr>
              <w:t>-27 pts</w:t>
            </w:r>
          </w:p>
        </w:tc>
        <w:tc>
          <w:tcPr>
            <w:tcW w:type="dxa" w:w="1800"/>
            <w:vAlign w:val="center"/>
            <w:tcMar>
              <w:top w:w="100" w:type="dxa"/>
              <w:start w:w="100" w:type="dxa"/>
              <w:bottom w:w="100" w:type="dxa"/>
              <w:end w:w="100" w:type="dxa"/>
            </w:tcMar>
          </w:tcPr>
          <w:p>
            <w:pPr>
              <w:spacing w:after="0"/>
            </w:pPr>
            <w:r>
              <w:rPr>
                <w:rFonts w:ascii="Aptos" w:hAnsi="Aptos"/>
                <w:sz w:val="16"/>
              </w:rPr>
              <w:t>Non atteint</w:t>
            </w:r>
          </w:p>
        </w:tc>
        <w:tc>
          <w:tcPr>
            <w:tcW w:type="dxa" w:w="2880"/>
            <w:vAlign w:val="center"/>
            <w:tcMar>
              <w:top w:w="100" w:type="dxa"/>
              <w:start w:w="100" w:type="dxa"/>
              <w:bottom w:w="100" w:type="dxa"/>
              <w:end w:w="100" w:type="dxa"/>
            </w:tcMar>
          </w:tcPr>
          <w:p>
            <w:pPr>
              <w:spacing w:after="0"/>
            </w:pPr>
            <w:r>
              <w:rPr>
                <w:rFonts w:ascii="Aptos" w:hAnsi="Aptos"/>
                <w:sz w:val="16"/>
              </w:rPr>
              <w:t>Enquête de couverture</w:t>
            </w:r>
          </w:p>
        </w:tc>
      </w:tr>
    </w:tbl>
    <w:p/>
    <w:tbl>
      <w:tblPr>
        <w:tblW w:type="auto" w:w="0"/>
        <w:jc w:val="center"/>
        <w:tblLook w:firstColumn="1" w:firstRow="1" w:lastColumn="0" w:lastRow="0" w:noHBand="0" w:noVBand="1" w:val="04A0"/>
      </w:tblPr>
      <w:tblGrid>
        <w:gridCol w:w="10080"/>
      </w:tblGrid>
      <w:tr>
        <w:trPr>
          <w:cantSplit/>
        </w:trPr>
        <w:tc>
          <w:tcPr>
            <w:tcW w:type="dxa" w:w="10080"/>
            <w:shd w:fill="E2F0D9"/>
            <w:tcMar>
              <w:top w:w="140" w:type="dxa"/>
              <w:start w:w="160" w:type="dxa"/>
              <w:bottom w:w="140" w:type="dxa"/>
              <w:end w:w="160" w:type="dxa"/>
            </w:tcMar>
          </w:tcPr>
          <w:p>
            <w:r>
              <w:rPr>
                <w:b/>
                <w:color w:val="1F4E79"/>
                <w:sz w:val="21"/>
              </w:rPr>
              <w:t xml:space="preserve">Analyse attendue  </w:t>
            </w:r>
            <w:r>
              <w:rPr>
                <w:sz w:val="21"/>
              </w:rPr>
              <w:t>Le RAP ne doit pas seulement constater l’écart. Il doit rapprocher résultat physique, consommation financière, risques, capacités et décisions prises pendant l’exercice.</w:t>
            </w:r>
          </w:p>
        </w:tc>
      </w:tr>
    </w:tbl>
    <w:p/>
    <w:p>
      <w:pPr>
        <w:pStyle w:val="Heading1"/>
        <w:keepNext/>
      </w:pPr>
      <w:r>
        <w:t>3. Évaluer la performance : neuf dimensions complémentaires</w:t>
      </w:r>
    </w:p>
    <w:p>
      <w:r>
        <w:t>Une lecture robuste de la performance évite l’indicateur unique. La grille ci-dessous force l’organisation à examiner simultanément le sens de l’action, l’usage des ressources, l’atteinte des résultats, la qualité, l’équité, l’impact, les risques et la capacité à apprendre.</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2160"/>
            <w:shd w:fill="17365D"/>
            <w:vAlign w:val="center"/>
            <w:tcMar>
              <w:top w:w="120" w:type="dxa"/>
              <w:start w:w="110" w:type="dxa"/>
              <w:bottom w:w="120" w:type="dxa"/>
              <w:end w:w="110" w:type="dxa"/>
            </w:tcMar>
          </w:tcPr>
          <w:p>
            <w:pPr>
              <w:jc w:val="center"/>
            </w:pPr>
            <w:r>
              <w:rPr>
                <w:b/>
                <w:color w:val="FFFFFF"/>
                <w:sz w:val="17"/>
              </w:rPr>
              <w:t>Dimension</w:t>
            </w:r>
          </w:p>
        </w:tc>
        <w:tc>
          <w:tcPr>
            <w:tcW w:type="dxa" w:w="5040"/>
            <w:shd w:fill="17365D"/>
            <w:vAlign w:val="center"/>
            <w:tcMar>
              <w:top w:w="120" w:type="dxa"/>
              <w:start w:w="110" w:type="dxa"/>
              <w:bottom w:w="120" w:type="dxa"/>
              <w:end w:w="110" w:type="dxa"/>
            </w:tcMar>
          </w:tcPr>
          <w:p>
            <w:pPr>
              <w:jc w:val="center"/>
            </w:pPr>
            <w:r>
              <w:rPr>
                <w:b/>
                <w:color w:val="FFFFFF"/>
                <w:sz w:val="17"/>
              </w:rPr>
              <w:t>Question de pilotage</w:t>
            </w:r>
          </w:p>
        </w:tc>
        <w:tc>
          <w:tcPr>
            <w:tcW w:type="dxa" w:w="3600"/>
            <w:shd w:fill="17365D"/>
            <w:vAlign w:val="center"/>
            <w:tcMar>
              <w:top w:w="120" w:type="dxa"/>
              <w:start w:w="110" w:type="dxa"/>
              <w:bottom w:w="120" w:type="dxa"/>
              <w:end w:w="110" w:type="dxa"/>
            </w:tcMar>
          </w:tcPr>
          <w:p>
            <w:pPr>
              <w:jc w:val="center"/>
            </w:pPr>
            <w:r>
              <w:rPr>
                <w:b/>
                <w:color w:val="FFFFFF"/>
                <w:sz w:val="17"/>
              </w:rPr>
              <w:t>Apport possible de l’IA</w:t>
            </w:r>
          </w:p>
        </w:tc>
      </w:tr>
      <w:tr>
        <w:tc>
          <w:tcPr>
            <w:tcW w:type="dxa" w:w="2160"/>
            <w:vAlign w:val="center"/>
            <w:tcMar>
              <w:top w:w="100" w:type="dxa"/>
              <w:start w:w="100" w:type="dxa"/>
              <w:bottom w:w="100" w:type="dxa"/>
              <w:end w:w="100" w:type="dxa"/>
            </w:tcMar>
          </w:tcPr>
          <w:p>
            <w:pPr>
              <w:spacing w:after="0"/>
            </w:pPr>
            <w:r>
              <w:rPr>
                <w:rFonts w:ascii="Aptos" w:hAnsi="Aptos"/>
                <w:sz w:val="17"/>
              </w:rPr>
              <w:t>Pertinence</w:t>
            </w:r>
          </w:p>
        </w:tc>
        <w:tc>
          <w:tcPr>
            <w:tcW w:type="dxa" w:w="5040"/>
            <w:vAlign w:val="center"/>
            <w:tcMar>
              <w:top w:w="100" w:type="dxa"/>
              <w:start w:w="100" w:type="dxa"/>
              <w:bottom w:w="100" w:type="dxa"/>
              <w:end w:w="100" w:type="dxa"/>
            </w:tcMar>
          </w:tcPr>
          <w:p>
            <w:pPr>
              <w:spacing w:after="0"/>
            </w:pPr>
            <w:r>
              <w:rPr>
                <w:rFonts w:ascii="Aptos" w:hAnsi="Aptos"/>
                <w:sz w:val="17"/>
              </w:rPr>
              <w:t>Les objectifs répondent-ils au problème public réel ?</w:t>
            </w:r>
          </w:p>
        </w:tc>
        <w:tc>
          <w:tcPr>
            <w:tcW w:type="dxa" w:w="3600"/>
            <w:vAlign w:val="center"/>
            <w:tcMar>
              <w:top w:w="100" w:type="dxa"/>
              <w:start w:w="100" w:type="dxa"/>
              <w:bottom w:w="100" w:type="dxa"/>
              <w:end w:w="100" w:type="dxa"/>
            </w:tcMar>
          </w:tcPr>
          <w:p>
            <w:pPr>
              <w:spacing w:after="0"/>
            </w:pPr>
            <w:r>
              <w:rPr>
                <w:rFonts w:ascii="Aptos" w:hAnsi="Aptos"/>
                <w:sz w:val="17"/>
              </w:rPr>
              <w:t>Analyse des besoins, réclamations, tendances.</w:t>
            </w:r>
          </w:p>
        </w:tc>
      </w:tr>
      <w:tr>
        <w:tc>
          <w:tcPr>
            <w:tcW w:type="dxa" w:w="2160"/>
            <w:vAlign w:val="center"/>
            <w:tcMar>
              <w:top w:w="100" w:type="dxa"/>
              <w:start w:w="100" w:type="dxa"/>
              <w:bottom w:w="100" w:type="dxa"/>
              <w:end w:w="100" w:type="dxa"/>
            </w:tcMar>
          </w:tcPr>
          <w:p>
            <w:pPr>
              <w:spacing w:after="0"/>
            </w:pPr>
            <w:r>
              <w:rPr>
                <w:rFonts w:ascii="Aptos" w:hAnsi="Aptos"/>
                <w:sz w:val="17"/>
              </w:rPr>
              <w:t>Économie</w:t>
            </w:r>
          </w:p>
        </w:tc>
        <w:tc>
          <w:tcPr>
            <w:tcW w:type="dxa" w:w="5040"/>
            <w:vAlign w:val="center"/>
            <w:tcMar>
              <w:top w:w="100" w:type="dxa"/>
              <w:start w:w="100" w:type="dxa"/>
              <w:bottom w:w="100" w:type="dxa"/>
              <w:end w:w="100" w:type="dxa"/>
            </w:tcMar>
          </w:tcPr>
          <w:p>
            <w:pPr>
              <w:spacing w:after="0"/>
            </w:pPr>
            <w:r>
              <w:rPr>
                <w:rFonts w:ascii="Aptos" w:hAnsi="Aptos"/>
                <w:sz w:val="17"/>
              </w:rPr>
              <w:t>Les ressources sont-elles acquises au coût, délai et niveau de qualité appropriés ?</w:t>
            </w:r>
          </w:p>
        </w:tc>
        <w:tc>
          <w:tcPr>
            <w:tcW w:type="dxa" w:w="3600"/>
            <w:vAlign w:val="center"/>
            <w:tcMar>
              <w:top w:w="100" w:type="dxa"/>
              <w:start w:w="100" w:type="dxa"/>
              <w:bottom w:w="100" w:type="dxa"/>
              <w:end w:w="100" w:type="dxa"/>
            </w:tcMar>
          </w:tcPr>
          <w:p>
            <w:pPr>
              <w:spacing w:after="0"/>
            </w:pPr>
            <w:r>
              <w:rPr>
                <w:rFonts w:ascii="Aptos" w:hAnsi="Aptos"/>
                <w:sz w:val="17"/>
              </w:rPr>
              <w:t>Comparaisons, anomalies de facturation, prix de référence.</w:t>
            </w:r>
          </w:p>
        </w:tc>
      </w:tr>
      <w:tr>
        <w:tc>
          <w:tcPr>
            <w:tcW w:type="dxa" w:w="2160"/>
            <w:vAlign w:val="center"/>
            <w:tcMar>
              <w:top w:w="100" w:type="dxa"/>
              <w:start w:w="100" w:type="dxa"/>
              <w:bottom w:w="100" w:type="dxa"/>
              <w:end w:w="100" w:type="dxa"/>
            </w:tcMar>
          </w:tcPr>
          <w:p>
            <w:pPr>
              <w:spacing w:after="0"/>
            </w:pPr>
            <w:r>
              <w:rPr>
                <w:rFonts w:ascii="Aptos" w:hAnsi="Aptos"/>
                <w:sz w:val="17"/>
              </w:rPr>
              <w:t>Efficacité</w:t>
            </w:r>
          </w:p>
        </w:tc>
        <w:tc>
          <w:tcPr>
            <w:tcW w:type="dxa" w:w="5040"/>
            <w:vAlign w:val="center"/>
            <w:tcMar>
              <w:top w:w="100" w:type="dxa"/>
              <w:start w:w="100" w:type="dxa"/>
              <w:bottom w:w="100" w:type="dxa"/>
              <w:end w:w="100" w:type="dxa"/>
            </w:tcMar>
          </w:tcPr>
          <w:p>
            <w:pPr>
              <w:spacing w:after="0"/>
            </w:pPr>
            <w:r>
              <w:rPr>
                <w:rFonts w:ascii="Aptos" w:hAnsi="Aptos"/>
                <w:sz w:val="17"/>
              </w:rPr>
              <w:t>Les résultats attendus sont-ils atteints ?</w:t>
            </w:r>
          </w:p>
        </w:tc>
        <w:tc>
          <w:tcPr>
            <w:tcW w:type="dxa" w:w="3600"/>
            <w:vAlign w:val="center"/>
            <w:tcMar>
              <w:top w:w="100" w:type="dxa"/>
              <w:start w:w="100" w:type="dxa"/>
              <w:bottom w:w="100" w:type="dxa"/>
              <w:end w:w="100" w:type="dxa"/>
            </w:tcMar>
          </w:tcPr>
          <w:p>
            <w:pPr>
              <w:spacing w:after="0"/>
            </w:pPr>
            <w:r>
              <w:rPr>
                <w:rFonts w:ascii="Aptos" w:hAnsi="Aptos"/>
                <w:sz w:val="17"/>
              </w:rPr>
              <w:t>Consolidation des réalisations et calcul des écarts.</w:t>
            </w:r>
          </w:p>
        </w:tc>
      </w:tr>
      <w:tr>
        <w:tc>
          <w:tcPr>
            <w:tcW w:type="dxa" w:w="2160"/>
            <w:vAlign w:val="center"/>
            <w:tcMar>
              <w:top w:w="100" w:type="dxa"/>
              <w:start w:w="100" w:type="dxa"/>
              <w:bottom w:w="100" w:type="dxa"/>
              <w:end w:w="100" w:type="dxa"/>
            </w:tcMar>
          </w:tcPr>
          <w:p>
            <w:pPr>
              <w:spacing w:after="0"/>
            </w:pPr>
            <w:r>
              <w:rPr>
                <w:rFonts w:ascii="Aptos" w:hAnsi="Aptos"/>
                <w:sz w:val="17"/>
              </w:rPr>
              <w:t>Efficience</w:t>
            </w:r>
          </w:p>
        </w:tc>
        <w:tc>
          <w:tcPr>
            <w:tcW w:type="dxa" w:w="5040"/>
            <w:vAlign w:val="center"/>
            <w:tcMar>
              <w:top w:w="100" w:type="dxa"/>
              <w:start w:w="100" w:type="dxa"/>
              <w:bottom w:w="100" w:type="dxa"/>
              <w:end w:w="100" w:type="dxa"/>
            </w:tcMar>
          </w:tcPr>
          <w:p>
            <w:pPr>
              <w:spacing w:after="0"/>
            </w:pPr>
            <w:r>
              <w:rPr>
                <w:rFonts w:ascii="Aptos" w:hAnsi="Aptos"/>
                <w:sz w:val="17"/>
              </w:rPr>
              <w:t>Quel résultat pour quelles ressources mobilisées ?</w:t>
            </w:r>
          </w:p>
        </w:tc>
        <w:tc>
          <w:tcPr>
            <w:tcW w:type="dxa" w:w="3600"/>
            <w:vAlign w:val="center"/>
            <w:tcMar>
              <w:top w:w="100" w:type="dxa"/>
              <w:start w:w="100" w:type="dxa"/>
              <w:bottom w:w="100" w:type="dxa"/>
              <w:end w:w="100" w:type="dxa"/>
            </w:tcMar>
          </w:tcPr>
          <w:p>
            <w:pPr>
              <w:spacing w:after="0"/>
            </w:pPr>
            <w:r>
              <w:rPr>
                <w:rFonts w:ascii="Aptos" w:hAnsi="Aptos"/>
                <w:sz w:val="17"/>
              </w:rPr>
              <w:t>Coûts par activité, goulots et scénarios d’optimisation.</w:t>
            </w:r>
          </w:p>
        </w:tc>
      </w:tr>
      <w:tr>
        <w:tc>
          <w:tcPr>
            <w:tcW w:type="dxa" w:w="2160"/>
            <w:vAlign w:val="center"/>
            <w:tcMar>
              <w:top w:w="100" w:type="dxa"/>
              <w:start w:w="100" w:type="dxa"/>
              <w:bottom w:w="100" w:type="dxa"/>
              <w:end w:w="100" w:type="dxa"/>
            </w:tcMar>
          </w:tcPr>
          <w:p>
            <w:pPr>
              <w:spacing w:after="0"/>
            </w:pPr>
            <w:r>
              <w:rPr>
                <w:rFonts w:ascii="Aptos" w:hAnsi="Aptos"/>
                <w:sz w:val="17"/>
              </w:rPr>
              <w:t>Qualité</w:t>
            </w:r>
          </w:p>
        </w:tc>
        <w:tc>
          <w:tcPr>
            <w:tcW w:type="dxa" w:w="5040"/>
            <w:vAlign w:val="center"/>
            <w:tcMar>
              <w:top w:w="100" w:type="dxa"/>
              <w:start w:w="100" w:type="dxa"/>
              <w:bottom w:w="100" w:type="dxa"/>
              <w:end w:w="100" w:type="dxa"/>
            </w:tcMar>
          </w:tcPr>
          <w:p>
            <w:pPr>
              <w:spacing w:after="0"/>
            </w:pPr>
            <w:r>
              <w:rPr>
                <w:rFonts w:ascii="Aptos" w:hAnsi="Aptos"/>
                <w:sz w:val="17"/>
              </w:rPr>
              <w:t>Le service est-il fiable, accessible et délivré dans des délais maîtrisés ?</w:t>
            </w:r>
          </w:p>
        </w:tc>
        <w:tc>
          <w:tcPr>
            <w:tcW w:type="dxa" w:w="3600"/>
            <w:vAlign w:val="center"/>
            <w:tcMar>
              <w:top w:w="100" w:type="dxa"/>
              <w:start w:w="100" w:type="dxa"/>
              <w:bottom w:w="100" w:type="dxa"/>
              <w:end w:w="100" w:type="dxa"/>
            </w:tcMar>
          </w:tcPr>
          <w:p>
            <w:pPr>
              <w:spacing w:after="0"/>
            </w:pPr>
            <w:r>
              <w:rPr>
                <w:rFonts w:ascii="Aptos" w:hAnsi="Aptos"/>
                <w:sz w:val="17"/>
              </w:rPr>
              <w:t>Analyse des requêtes et des temps de parcours.</w:t>
            </w:r>
          </w:p>
        </w:tc>
      </w:tr>
      <w:tr>
        <w:tc>
          <w:tcPr>
            <w:tcW w:type="dxa" w:w="2160"/>
            <w:vAlign w:val="center"/>
            <w:tcMar>
              <w:top w:w="100" w:type="dxa"/>
              <w:start w:w="100" w:type="dxa"/>
              <w:bottom w:w="100" w:type="dxa"/>
              <w:end w:w="100" w:type="dxa"/>
            </w:tcMar>
          </w:tcPr>
          <w:p>
            <w:pPr>
              <w:spacing w:after="0"/>
            </w:pPr>
            <w:r>
              <w:rPr>
                <w:rFonts w:ascii="Aptos" w:hAnsi="Aptos"/>
                <w:sz w:val="17"/>
              </w:rPr>
              <w:t>Équité / accès</w:t>
            </w:r>
          </w:p>
        </w:tc>
        <w:tc>
          <w:tcPr>
            <w:tcW w:type="dxa" w:w="5040"/>
            <w:vAlign w:val="center"/>
            <w:tcMar>
              <w:top w:w="100" w:type="dxa"/>
              <w:start w:w="100" w:type="dxa"/>
              <w:bottom w:w="100" w:type="dxa"/>
              <w:end w:w="100" w:type="dxa"/>
            </w:tcMar>
          </w:tcPr>
          <w:p>
            <w:pPr>
              <w:spacing w:after="0"/>
            </w:pPr>
            <w:r>
              <w:rPr>
                <w:rFonts w:ascii="Aptos" w:hAnsi="Aptos"/>
                <w:sz w:val="17"/>
              </w:rPr>
              <w:t>Les bénéficiaires et territoires sont-ils servis équitablement ?</w:t>
            </w:r>
          </w:p>
        </w:tc>
        <w:tc>
          <w:tcPr>
            <w:tcW w:type="dxa" w:w="3600"/>
            <w:vAlign w:val="center"/>
            <w:tcMar>
              <w:top w:w="100" w:type="dxa"/>
              <w:start w:w="100" w:type="dxa"/>
              <w:bottom w:w="100" w:type="dxa"/>
              <w:end w:w="100" w:type="dxa"/>
            </w:tcMar>
          </w:tcPr>
          <w:p>
            <w:pPr>
              <w:spacing w:after="0"/>
            </w:pPr>
            <w:r>
              <w:rPr>
                <w:rFonts w:ascii="Aptos" w:hAnsi="Aptos"/>
                <w:sz w:val="17"/>
              </w:rPr>
              <w:t>Détection de zones sous-desservies et disparités.</w:t>
            </w:r>
          </w:p>
        </w:tc>
      </w:tr>
      <w:tr>
        <w:tc>
          <w:tcPr>
            <w:tcW w:type="dxa" w:w="2160"/>
            <w:vAlign w:val="center"/>
            <w:tcMar>
              <w:top w:w="100" w:type="dxa"/>
              <w:start w:w="100" w:type="dxa"/>
              <w:bottom w:w="100" w:type="dxa"/>
              <w:end w:w="100" w:type="dxa"/>
            </w:tcMar>
          </w:tcPr>
          <w:p>
            <w:pPr>
              <w:spacing w:after="0"/>
            </w:pPr>
            <w:r>
              <w:rPr>
                <w:rFonts w:ascii="Aptos" w:hAnsi="Aptos"/>
                <w:sz w:val="17"/>
              </w:rPr>
              <w:t>Impact / valeur publique</w:t>
            </w:r>
          </w:p>
        </w:tc>
        <w:tc>
          <w:tcPr>
            <w:tcW w:type="dxa" w:w="5040"/>
            <w:vAlign w:val="center"/>
            <w:tcMar>
              <w:top w:w="100" w:type="dxa"/>
              <w:start w:w="100" w:type="dxa"/>
              <w:bottom w:w="100" w:type="dxa"/>
              <w:end w:w="100" w:type="dxa"/>
            </w:tcMar>
          </w:tcPr>
          <w:p>
            <w:pPr>
              <w:spacing w:after="0"/>
            </w:pPr>
            <w:r>
              <w:rPr>
                <w:rFonts w:ascii="Aptos" w:hAnsi="Aptos"/>
                <w:sz w:val="17"/>
              </w:rPr>
              <w:t>Quels changements durables sont observables ?</w:t>
            </w:r>
          </w:p>
        </w:tc>
        <w:tc>
          <w:tcPr>
            <w:tcW w:type="dxa" w:w="3600"/>
            <w:vAlign w:val="center"/>
            <w:tcMar>
              <w:top w:w="100" w:type="dxa"/>
              <w:start w:w="100" w:type="dxa"/>
              <w:bottom w:w="100" w:type="dxa"/>
              <w:end w:w="100" w:type="dxa"/>
            </w:tcMar>
          </w:tcPr>
          <w:p>
            <w:pPr>
              <w:spacing w:after="0"/>
            </w:pPr>
            <w:r>
              <w:rPr>
                <w:rFonts w:ascii="Aptos" w:hAnsi="Aptos"/>
                <w:sz w:val="17"/>
              </w:rPr>
              <w:t>Croisement de données ; prudence sur l’attribution causale.</w:t>
            </w:r>
          </w:p>
        </w:tc>
      </w:tr>
      <w:tr>
        <w:tc>
          <w:tcPr>
            <w:tcW w:type="dxa" w:w="2160"/>
            <w:vAlign w:val="center"/>
            <w:tcMar>
              <w:top w:w="100" w:type="dxa"/>
              <w:start w:w="100" w:type="dxa"/>
              <w:bottom w:w="100" w:type="dxa"/>
              <w:end w:w="100" w:type="dxa"/>
            </w:tcMar>
          </w:tcPr>
          <w:p>
            <w:pPr>
              <w:spacing w:after="0"/>
            </w:pPr>
            <w:r>
              <w:rPr>
                <w:rFonts w:ascii="Aptos" w:hAnsi="Aptos"/>
                <w:sz w:val="17"/>
              </w:rPr>
              <w:t>Risque / résilience</w:t>
            </w:r>
          </w:p>
        </w:tc>
        <w:tc>
          <w:tcPr>
            <w:tcW w:type="dxa" w:w="5040"/>
            <w:vAlign w:val="center"/>
            <w:tcMar>
              <w:top w:w="100" w:type="dxa"/>
              <w:start w:w="100" w:type="dxa"/>
              <w:bottom w:w="100" w:type="dxa"/>
              <w:end w:w="100" w:type="dxa"/>
            </w:tcMar>
          </w:tcPr>
          <w:p>
            <w:pPr>
              <w:spacing w:after="0"/>
            </w:pPr>
            <w:r>
              <w:rPr>
                <w:rFonts w:ascii="Aptos" w:hAnsi="Aptos"/>
                <w:sz w:val="17"/>
              </w:rPr>
              <w:t>Quelles vulnérabilités menacent les résultats ou la continuité ?</w:t>
            </w:r>
          </w:p>
        </w:tc>
        <w:tc>
          <w:tcPr>
            <w:tcW w:type="dxa" w:w="3600"/>
            <w:vAlign w:val="center"/>
            <w:tcMar>
              <w:top w:w="100" w:type="dxa"/>
              <w:start w:w="100" w:type="dxa"/>
              <w:bottom w:w="100" w:type="dxa"/>
              <w:end w:w="100" w:type="dxa"/>
            </w:tcMar>
          </w:tcPr>
          <w:p>
            <w:pPr>
              <w:spacing w:after="0"/>
            </w:pPr>
            <w:r>
              <w:rPr>
                <w:rFonts w:ascii="Aptos" w:hAnsi="Aptos"/>
                <w:sz w:val="17"/>
              </w:rPr>
              <w:t>Signaux faibles, scénarios et alertes KRI.</w:t>
            </w:r>
          </w:p>
        </w:tc>
      </w:tr>
      <w:tr>
        <w:tc>
          <w:tcPr>
            <w:tcW w:type="dxa" w:w="2160"/>
            <w:vAlign w:val="center"/>
            <w:tcMar>
              <w:top w:w="100" w:type="dxa"/>
              <w:start w:w="100" w:type="dxa"/>
              <w:bottom w:w="100" w:type="dxa"/>
              <w:end w:w="100" w:type="dxa"/>
            </w:tcMar>
          </w:tcPr>
          <w:p>
            <w:pPr>
              <w:spacing w:after="0"/>
            </w:pPr>
            <w:r>
              <w:rPr>
                <w:rFonts w:ascii="Aptos" w:hAnsi="Aptos"/>
                <w:sz w:val="17"/>
              </w:rPr>
              <w:t>Apprentissage / adaptation</w:t>
            </w:r>
          </w:p>
        </w:tc>
        <w:tc>
          <w:tcPr>
            <w:tcW w:type="dxa" w:w="5040"/>
            <w:vAlign w:val="center"/>
            <w:tcMar>
              <w:top w:w="100" w:type="dxa"/>
              <w:start w:w="100" w:type="dxa"/>
              <w:bottom w:w="100" w:type="dxa"/>
              <w:end w:w="100" w:type="dxa"/>
            </w:tcMar>
          </w:tcPr>
          <w:p>
            <w:pPr>
              <w:spacing w:after="0"/>
            </w:pPr>
            <w:r>
              <w:rPr>
                <w:rFonts w:ascii="Aptos" w:hAnsi="Aptos"/>
                <w:sz w:val="17"/>
              </w:rPr>
              <w:t>L’organisation transforme-t-elle l’expérience en amélioration ?</w:t>
            </w:r>
          </w:p>
        </w:tc>
        <w:tc>
          <w:tcPr>
            <w:tcW w:type="dxa" w:w="3600"/>
            <w:vAlign w:val="center"/>
            <w:tcMar>
              <w:top w:w="100" w:type="dxa"/>
              <w:start w:w="100" w:type="dxa"/>
              <w:bottom w:w="100" w:type="dxa"/>
              <w:end w:w="100" w:type="dxa"/>
            </w:tcMar>
          </w:tcPr>
          <w:p>
            <w:pPr>
              <w:spacing w:after="0"/>
            </w:pPr>
            <w:r>
              <w:rPr>
                <w:rFonts w:ascii="Aptos" w:hAnsi="Aptos"/>
                <w:sz w:val="17"/>
              </w:rPr>
              <w:t>Mémoire institutionnelle et synthèse des leçons apprises.</w:t>
            </w:r>
          </w:p>
        </w:tc>
      </w:tr>
    </w:tbl>
    <w:p/>
    <w:tbl>
      <w:tblPr>
        <w:tblW w:type="auto" w:w="0"/>
        <w:jc w:val="center"/>
        <w:tblLook w:firstColumn="1" w:firstRow="1" w:lastColumn="0" w:lastRow="0" w:noHBand="0" w:noVBand="1" w:val="04A0"/>
      </w:tblPr>
      <w:tblGrid>
        <w:gridCol w:w="10080"/>
      </w:tblGrid>
      <w:tr>
        <w:trPr>
          <w:cantSplit/>
        </w:trPr>
        <w:tc>
          <w:tcPr>
            <w:tcW w:type="dxa" w:w="10080"/>
            <w:shd w:fill="FFF2CC"/>
            <w:tcMar>
              <w:top w:w="140" w:type="dxa"/>
              <w:start w:w="160" w:type="dxa"/>
              <w:bottom w:w="140" w:type="dxa"/>
              <w:end w:w="160" w:type="dxa"/>
            </w:tcMar>
          </w:tcPr>
          <w:p>
            <w:r>
              <w:rPr>
                <w:b/>
                <w:color w:val="1F4E79"/>
                <w:sz w:val="21"/>
              </w:rPr>
              <w:t xml:space="preserve">Règle de lecture  </w:t>
            </w:r>
            <w:r>
              <w:rPr>
                <w:sz w:val="21"/>
              </w:rPr>
              <w:t>Un résultat peut être efficace mais inefficient ; efficient mais inéquitable ; économiquement acquis mais de mauvaise qualité ; performant à court terme mais fragile face aux risques.</w:t>
            </w:r>
          </w:p>
        </w:tc>
      </w:tr>
    </w:tbl>
    <w:p/>
    <w:p>
      <w:pPr>
        <w:pStyle w:val="Heading1"/>
        <w:keepNext/>
      </w:pPr>
      <w:r>
        <w:t>4. KPI, KRI, métadonnées et gouvernance de la preuve</w:t>
      </w:r>
    </w:p>
    <w:p>
      <w:r>
        <w:t>Le système de pilotage n’est fiable que si les indicateurs sont définis de manière reproductible. Chaque KPI ou KRI doit posséder une identité technique stable : formule, unité, source, périodicité, responsable, limites et décision associée.</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792"/>
            <w:shd w:fill="17365D"/>
            <w:vAlign w:val="center"/>
            <w:tcMar>
              <w:top w:w="120" w:type="dxa"/>
              <w:start w:w="110" w:type="dxa"/>
              <w:bottom w:w="120" w:type="dxa"/>
              <w:end w:w="110" w:type="dxa"/>
            </w:tcMar>
          </w:tcPr>
          <w:p>
            <w:pPr>
              <w:jc w:val="center"/>
            </w:pPr>
            <w:r>
              <w:rPr>
                <w:b/>
                <w:color w:val="FFFFFF"/>
                <w:sz w:val="18"/>
              </w:rPr>
              <w:t>N°</w:t>
            </w:r>
          </w:p>
        </w:tc>
        <w:tc>
          <w:tcPr>
            <w:tcW w:type="dxa" w:w="2880"/>
            <w:shd w:fill="17365D"/>
            <w:vAlign w:val="center"/>
            <w:tcMar>
              <w:top w:w="120" w:type="dxa"/>
              <w:start w:w="110" w:type="dxa"/>
              <w:bottom w:w="120" w:type="dxa"/>
              <w:end w:w="110" w:type="dxa"/>
            </w:tcMar>
          </w:tcPr>
          <w:p>
            <w:pPr>
              <w:jc w:val="center"/>
            </w:pPr>
            <w:r>
              <w:rPr>
                <w:b/>
                <w:color w:val="FFFFFF"/>
                <w:sz w:val="18"/>
              </w:rPr>
              <w:t>Champ</w:t>
            </w:r>
          </w:p>
        </w:tc>
        <w:tc>
          <w:tcPr>
            <w:tcW w:type="dxa" w:w="7056"/>
            <w:shd w:fill="17365D"/>
            <w:vAlign w:val="center"/>
            <w:tcMar>
              <w:top w:w="120" w:type="dxa"/>
              <w:start w:w="110" w:type="dxa"/>
              <w:bottom w:w="120" w:type="dxa"/>
              <w:end w:w="110" w:type="dxa"/>
            </w:tcMar>
          </w:tcPr>
          <w:p>
            <w:pPr>
              <w:jc w:val="center"/>
            </w:pPr>
            <w:r>
              <w:rPr>
                <w:b/>
                <w:color w:val="FFFFFF"/>
                <w:sz w:val="18"/>
              </w:rPr>
              <w:t>Exigence</w:t>
            </w:r>
          </w:p>
        </w:tc>
      </w:tr>
      <w:tr>
        <w:tc>
          <w:tcPr>
            <w:tcW w:type="dxa" w:w="792"/>
            <w:vAlign w:val="center"/>
            <w:tcMar>
              <w:top w:w="100" w:type="dxa"/>
              <w:start w:w="100" w:type="dxa"/>
              <w:bottom w:w="100" w:type="dxa"/>
              <w:end w:w="100" w:type="dxa"/>
            </w:tcMar>
          </w:tcPr>
          <w:p>
            <w:pPr>
              <w:spacing w:after="0"/>
            </w:pPr>
            <w:r>
              <w:rPr>
                <w:rFonts w:ascii="Aptos" w:hAnsi="Aptos"/>
                <w:sz w:val="18"/>
              </w:rPr>
              <w:t>1</w:t>
            </w:r>
          </w:p>
        </w:tc>
        <w:tc>
          <w:tcPr>
            <w:tcW w:type="dxa" w:w="2880"/>
            <w:vAlign w:val="center"/>
            <w:tcMar>
              <w:top w:w="100" w:type="dxa"/>
              <w:start w:w="100" w:type="dxa"/>
              <w:bottom w:w="100" w:type="dxa"/>
              <w:end w:w="100" w:type="dxa"/>
            </w:tcMar>
          </w:tcPr>
          <w:p>
            <w:pPr>
              <w:spacing w:after="0"/>
            </w:pPr>
            <w:r>
              <w:rPr>
                <w:rFonts w:ascii="Aptos" w:hAnsi="Aptos"/>
                <w:sz w:val="18"/>
              </w:rPr>
              <w:t>Nom et finalité</w:t>
            </w:r>
          </w:p>
        </w:tc>
        <w:tc>
          <w:tcPr>
            <w:tcW w:type="dxa" w:w="7056"/>
            <w:vAlign w:val="center"/>
            <w:tcMar>
              <w:top w:w="100" w:type="dxa"/>
              <w:start w:w="100" w:type="dxa"/>
              <w:bottom w:w="100" w:type="dxa"/>
              <w:end w:w="100" w:type="dxa"/>
            </w:tcMar>
          </w:tcPr>
          <w:p>
            <w:pPr>
              <w:spacing w:after="0"/>
            </w:pPr>
            <w:r>
              <w:rPr>
                <w:rFonts w:ascii="Aptos" w:hAnsi="Aptos"/>
                <w:sz w:val="18"/>
              </w:rPr>
              <w:t>Intitulé exact et valeur décisionnelle.</w:t>
            </w:r>
          </w:p>
        </w:tc>
      </w:tr>
      <w:tr>
        <w:tc>
          <w:tcPr>
            <w:tcW w:type="dxa" w:w="792"/>
            <w:vAlign w:val="center"/>
            <w:tcMar>
              <w:top w:w="100" w:type="dxa"/>
              <w:start w:w="100" w:type="dxa"/>
              <w:bottom w:w="100" w:type="dxa"/>
              <w:end w:w="100" w:type="dxa"/>
            </w:tcMar>
          </w:tcPr>
          <w:p>
            <w:pPr>
              <w:spacing w:after="0"/>
            </w:pPr>
            <w:r>
              <w:rPr>
                <w:rFonts w:ascii="Aptos" w:hAnsi="Aptos"/>
                <w:sz w:val="18"/>
              </w:rPr>
              <w:t>2</w:t>
            </w:r>
          </w:p>
        </w:tc>
        <w:tc>
          <w:tcPr>
            <w:tcW w:type="dxa" w:w="2880"/>
            <w:vAlign w:val="center"/>
            <w:tcMar>
              <w:top w:w="100" w:type="dxa"/>
              <w:start w:w="100" w:type="dxa"/>
              <w:bottom w:w="100" w:type="dxa"/>
              <w:end w:w="100" w:type="dxa"/>
            </w:tcMar>
          </w:tcPr>
          <w:p>
            <w:pPr>
              <w:spacing w:after="0"/>
            </w:pPr>
            <w:r>
              <w:rPr>
                <w:rFonts w:ascii="Aptos" w:hAnsi="Aptos"/>
                <w:sz w:val="18"/>
              </w:rPr>
              <w:t>Typologie</w:t>
            </w:r>
          </w:p>
        </w:tc>
        <w:tc>
          <w:tcPr>
            <w:tcW w:type="dxa" w:w="7056"/>
            <w:vAlign w:val="center"/>
            <w:tcMar>
              <w:top w:w="100" w:type="dxa"/>
              <w:start w:w="100" w:type="dxa"/>
              <w:bottom w:w="100" w:type="dxa"/>
              <w:end w:w="100" w:type="dxa"/>
            </w:tcMar>
          </w:tcPr>
          <w:p>
            <w:pPr>
              <w:spacing w:after="0"/>
            </w:pPr>
            <w:r>
              <w:rPr>
                <w:rFonts w:ascii="Aptos" w:hAnsi="Aptos"/>
                <w:sz w:val="18"/>
              </w:rPr>
              <w:t>KPI/KRI ; avancé/retardé ; produit/effet.</w:t>
            </w:r>
          </w:p>
        </w:tc>
      </w:tr>
      <w:tr>
        <w:tc>
          <w:tcPr>
            <w:tcW w:type="dxa" w:w="792"/>
            <w:vAlign w:val="center"/>
            <w:tcMar>
              <w:top w:w="100" w:type="dxa"/>
              <w:start w:w="100" w:type="dxa"/>
              <w:bottom w:w="100" w:type="dxa"/>
              <w:end w:w="100" w:type="dxa"/>
            </w:tcMar>
          </w:tcPr>
          <w:p>
            <w:pPr>
              <w:spacing w:after="0"/>
            </w:pPr>
            <w:r>
              <w:rPr>
                <w:rFonts w:ascii="Aptos" w:hAnsi="Aptos"/>
                <w:sz w:val="18"/>
              </w:rPr>
              <w:t>3</w:t>
            </w:r>
          </w:p>
        </w:tc>
        <w:tc>
          <w:tcPr>
            <w:tcW w:type="dxa" w:w="2880"/>
            <w:vAlign w:val="center"/>
            <w:tcMar>
              <w:top w:w="100" w:type="dxa"/>
              <w:start w:w="100" w:type="dxa"/>
              <w:bottom w:w="100" w:type="dxa"/>
              <w:end w:w="100" w:type="dxa"/>
            </w:tcMar>
          </w:tcPr>
          <w:p>
            <w:pPr>
              <w:spacing w:after="0"/>
            </w:pPr>
            <w:r>
              <w:rPr>
                <w:rFonts w:ascii="Aptos" w:hAnsi="Aptos"/>
                <w:sz w:val="18"/>
              </w:rPr>
              <w:t>Formule</w:t>
            </w:r>
          </w:p>
        </w:tc>
        <w:tc>
          <w:tcPr>
            <w:tcW w:type="dxa" w:w="7056"/>
            <w:vAlign w:val="center"/>
            <w:tcMar>
              <w:top w:w="100" w:type="dxa"/>
              <w:start w:w="100" w:type="dxa"/>
              <w:bottom w:w="100" w:type="dxa"/>
              <w:end w:w="100" w:type="dxa"/>
            </w:tcMar>
          </w:tcPr>
          <w:p>
            <w:pPr>
              <w:spacing w:after="0"/>
            </w:pPr>
            <w:r>
              <w:rPr>
                <w:rFonts w:ascii="Aptos" w:hAnsi="Aptos"/>
                <w:sz w:val="18"/>
              </w:rPr>
              <w:t>Numérateur, dénominateur et règles d’inclusion/exclusion.</w:t>
            </w:r>
          </w:p>
        </w:tc>
      </w:tr>
      <w:tr>
        <w:tc>
          <w:tcPr>
            <w:tcW w:type="dxa" w:w="792"/>
            <w:vAlign w:val="center"/>
            <w:tcMar>
              <w:top w:w="100" w:type="dxa"/>
              <w:start w:w="100" w:type="dxa"/>
              <w:bottom w:w="100" w:type="dxa"/>
              <w:end w:w="100" w:type="dxa"/>
            </w:tcMar>
          </w:tcPr>
          <w:p>
            <w:pPr>
              <w:spacing w:after="0"/>
            </w:pPr>
            <w:r>
              <w:rPr>
                <w:rFonts w:ascii="Aptos" w:hAnsi="Aptos"/>
                <w:sz w:val="18"/>
              </w:rPr>
              <w:t>4</w:t>
            </w:r>
          </w:p>
        </w:tc>
        <w:tc>
          <w:tcPr>
            <w:tcW w:type="dxa" w:w="2880"/>
            <w:vAlign w:val="center"/>
            <w:tcMar>
              <w:top w:w="100" w:type="dxa"/>
              <w:start w:w="100" w:type="dxa"/>
              <w:bottom w:w="100" w:type="dxa"/>
              <w:end w:w="100" w:type="dxa"/>
            </w:tcMar>
          </w:tcPr>
          <w:p>
            <w:pPr>
              <w:spacing w:after="0"/>
            </w:pPr>
            <w:r>
              <w:rPr>
                <w:rFonts w:ascii="Aptos" w:hAnsi="Aptos"/>
                <w:sz w:val="18"/>
              </w:rPr>
              <w:t>Unité</w:t>
            </w:r>
          </w:p>
        </w:tc>
        <w:tc>
          <w:tcPr>
            <w:tcW w:type="dxa" w:w="7056"/>
            <w:vAlign w:val="center"/>
            <w:tcMar>
              <w:top w:w="100" w:type="dxa"/>
              <w:start w:w="100" w:type="dxa"/>
              <w:bottom w:w="100" w:type="dxa"/>
              <w:end w:w="100" w:type="dxa"/>
            </w:tcMar>
          </w:tcPr>
          <w:p>
            <w:pPr>
              <w:spacing w:after="0"/>
            </w:pPr>
            <w:r>
              <w:rPr>
                <w:rFonts w:ascii="Aptos" w:hAnsi="Aptos"/>
                <w:sz w:val="18"/>
              </w:rPr>
              <w:t>Jours, %, FCFA, nombre, ratio, etc.</w:t>
            </w:r>
          </w:p>
        </w:tc>
      </w:tr>
      <w:tr>
        <w:tc>
          <w:tcPr>
            <w:tcW w:type="dxa" w:w="792"/>
            <w:vAlign w:val="center"/>
            <w:tcMar>
              <w:top w:w="100" w:type="dxa"/>
              <w:start w:w="100" w:type="dxa"/>
              <w:bottom w:w="100" w:type="dxa"/>
              <w:end w:w="100" w:type="dxa"/>
            </w:tcMar>
          </w:tcPr>
          <w:p>
            <w:pPr>
              <w:spacing w:after="0"/>
            </w:pPr>
            <w:r>
              <w:rPr>
                <w:rFonts w:ascii="Aptos" w:hAnsi="Aptos"/>
                <w:sz w:val="18"/>
              </w:rPr>
              <w:t>5</w:t>
            </w:r>
          </w:p>
        </w:tc>
        <w:tc>
          <w:tcPr>
            <w:tcW w:type="dxa" w:w="2880"/>
            <w:vAlign w:val="center"/>
            <w:tcMar>
              <w:top w:w="100" w:type="dxa"/>
              <w:start w:w="100" w:type="dxa"/>
              <w:bottom w:w="100" w:type="dxa"/>
              <w:end w:w="100" w:type="dxa"/>
            </w:tcMar>
          </w:tcPr>
          <w:p>
            <w:pPr>
              <w:spacing w:after="0"/>
            </w:pPr>
            <w:r>
              <w:rPr>
                <w:rFonts w:ascii="Aptos" w:hAnsi="Aptos"/>
                <w:sz w:val="18"/>
              </w:rPr>
              <w:t>Source &amp; collecte</w:t>
            </w:r>
          </w:p>
        </w:tc>
        <w:tc>
          <w:tcPr>
            <w:tcW w:type="dxa" w:w="7056"/>
            <w:vAlign w:val="center"/>
            <w:tcMar>
              <w:top w:w="100" w:type="dxa"/>
              <w:start w:w="100" w:type="dxa"/>
              <w:bottom w:w="100" w:type="dxa"/>
              <w:end w:w="100" w:type="dxa"/>
            </w:tcMar>
          </w:tcPr>
          <w:p>
            <w:pPr>
              <w:spacing w:after="0"/>
            </w:pPr>
            <w:r>
              <w:rPr>
                <w:rFonts w:ascii="Aptos" w:hAnsi="Aptos"/>
                <w:sz w:val="18"/>
              </w:rPr>
              <w:t>Système primaire, registre, enquête ou mesure.</w:t>
            </w:r>
          </w:p>
        </w:tc>
      </w:tr>
      <w:tr>
        <w:tc>
          <w:tcPr>
            <w:tcW w:type="dxa" w:w="792"/>
            <w:vAlign w:val="center"/>
            <w:tcMar>
              <w:top w:w="100" w:type="dxa"/>
              <w:start w:w="100" w:type="dxa"/>
              <w:bottom w:w="100" w:type="dxa"/>
              <w:end w:w="100" w:type="dxa"/>
            </w:tcMar>
          </w:tcPr>
          <w:p>
            <w:pPr>
              <w:spacing w:after="0"/>
            </w:pPr>
            <w:r>
              <w:rPr>
                <w:rFonts w:ascii="Aptos" w:hAnsi="Aptos"/>
                <w:sz w:val="18"/>
              </w:rPr>
              <w:t>6</w:t>
            </w:r>
          </w:p>
        </w:tc>
        <w:tc>
          <w:tcPr>
            <w:tcW w:type="dxa" w:w="2880"/>
            <w:vAlign w:val="center"/>
            <w:tcMar>
              <w:top w:w="100" w:type="dxa"/>
              <w:start w:w="100" w:type="dxa"/>
              <w:bottom w:w="100" w:type="dxa"/>
              <w:end w:w="100" w:type="dxa"/>
            </w:tcMar>
          </w:tcPr>
          <w:p>
            <w:pPr>
              <w:spacing w:after="0"/>
            </w:pPr>
            <w:r>
              <w:rPr>
                <w:rFonts w:ascii="Aptos" w:hAnsi="Aptos"/>
                <w:sz w:val="18"/>
              </w:rPr>
              <w:t>Périodicité</w:t>
            </w:r>
          </w:p>
        </w:tc>
        <w:tc>
          <w:tcPr>
            <w:tcW w:type="dxa" w:w="7056"/>
            <w:vAlign w:val="center"/>
            <w:tcMar>
              <w:top w:w="100" w:type="dxa"/>
              <w:start w:w="100" w:type="dxa"/>
              <w:bottom w:w="100" w:type="dxa"/>
              <w:end w:w="100" w:type="dxa"/>
            </w:tcMar>
          </w:tcPr>
          <w:p>
            <w:pPr>
              <w:spacing w:after="0"/>
            </w:pPr>
            <w:r>
              <w:rPr>
                <w:rFonts w:ascii="Aptos" w:hAnsi="Aptos"/>
                <w:sz w:val="18"/>
              </w:rPr>
              <w:t>Collecte, consolidation et revue.</w:t>
            </w:r>
          </w:p>
        </w:tc>
      </w:tr>
      <w:tr>
        <w:tc>
          <w:tcPr>
            <w:tcW w:type="dxa" w:w="792"/>
            <w:vAlign w:val="center"/>
            <w:tcMar>
              <w:top w:w="100" w:type="dxa"/>
              <w:start w:w="100" w:type="dxa"/>
              <w:bottom w:w="100" w:type="dxa"/>
              <w:end w:w="100" w:type="dxa"/>
            </w:tcMar>
          </w:tcPr>
          <w:p>
            <w:pPr>
              <w:spacing w:after="0"/>
            </w:pPr>
            <w:r>
              <w:rPr>
                <w:rFonts w:ascii="Aptos" w:hAnsi="Aptos"/>
                <w:sz w:val="18"/>
              </w:rPr>
              <w:t>7</w:t>
            </w:r>
          </w:p>
        </w:tc>
        <w:tc>
          <w:tcPr>
            <w:tcW w:type="dxa" w:w="2880"/>
            <w:vAlign w:val="center"/>
            <w:tcMar>
              <w:top w:w="100" w:type="dxa"/>
              <w:start w:w="100" w:type="dxa"/>
              <w:bottom w:w="100" w:type="dxa"/>
              <w:end w:w="100" w:type="dxa"/>
            </w:tcMar>
          </w:tcPr>
          <w:p>
            <w:pPr>
              <w:spacing w:after="0"/>
            </w:pPr>
            <w:r>
              <w:rPr>
                <w:rFonts w:ascii="Aptos" w:hAnsi="Aptos"/>
                <w:sz w:val="18"/>
              </w:rPr>
              <w:t>Baseline &amp; cibles</w:t>
            </w:r>
          </w:p>
        </w:tc>
        <w:tc>
          <w:tcPr>
            <w:tcW w:type="dxa" w:w="7056"/>
            <w:vAlign w:val="center"/>
            <w:tcMar>
              <w:top w:w="100" w:type="dxa"/>
              <w:start w:w="100" w:type="dxa"/>
              <w:bottom w:w="100" w:type="dxa"/>
              <w:end w:w="100" w:type="dxa"/>
            </w:tcMar>
          </w:tcPr>
          <w:p>
            <w:pPr>
              <w:spacing w:after="0"/>
            </w:pPr>
            <w:r>
              <w:rPr>
                <w:rFonts w:ascii="Aptos" w:hAnsi="Aptos"/>
                <w:sz w:val="18"/>
              </w:rPr>
              <w:t>Référence historique, cible, seuils d’alerte.</w:t>
            </w:r>
          </w:p>
        </w:tc>
      </w:tr>
      <w:tr>
        <w:tc>
          <w:tcPr>
            <w:tcW w:type="dxa" w:w="792"/>
            <w:vAlign w:val="center"/>
            <w:tcMar>
              <w:top w:w="100" w:type="dxa"/>
              <w:start w:w="100" w:type="dxa"/>
              <w:bottom w:w="100" w:type="dxa"/>
              <w:end w:w="100" w:type="dxa"/>
            </w:tcMar>
          </w:tcPr>
          <w:p>
            <w:pPr>
              <w:spacing w:after="0"/>
            </w:pPr>
            <w:r>
              <w:rPr>
                <w:rFonts w:ascii="Aptos" w:hAnsi="Aptos"/>
                <w:sz w:val="18"/>
              </w:rPr>
              <w:t>8</w:t>
            </w:r>
          </w:p>
        </w:tc>
        <w:tc>
          <w:tcPr>
            <w:tcW w:type="dxa" w:w="2880"/>
            <w:vAlign w:val="center"/>
            <w:tcMar>
              <w:top w:w="100" w:type="dxa"/>
              <w:start w:w="100" w:type="dxa"/>
              <w:bottom w:w="100" w:type="dxa"/>
              <w:end w:w="100" w:type="dxa"/>
            </w:tcMar>
          </w:tcPr>
          <w:p>
            <w:pPr>
              <w:spacing w:after="0"/>
            </w:pPr>
            <w:r>
              <w:rPr>
                <w:rFonts w:ascii="Aptos" w:hAnsi="Aptos"/>
                <w:sz w:val="18"/>
              </w:rPr>
              <w:t>Responsables</w:t>
            </w:r>
          </w:p>
        </w:tc>
        <w:tc>
          <w:tcPr>
            <w:tcW w:type="dxa" w:w="7056"/>
            <w:vAlign w:val="center"/>
            <w:tcMar>
              <w:top w:w="100" w:type="dxa"/>
              <w:start w:w="100" w:type="dxa"/>
              <w:bottom w:w="100" w:type="dxa"/>
              <w:end w:w="100" w:type="dxa"/>
            </w:tcMar>
          </w:tcPr>
          <w:p>
            <w:pPr>
              <w:spacing w:after="0"/>
            </w:pPr>
            <w:r>
              <w:rPr>
                <w:rFonts w:ascii="Aptos" w:hAnsi="Aptos"/>
                <w:sz w:val="18"/>
              </w:rPr>
              <w:t>Producteur, propriétaire, validateur.</w:t>
            </w:r>
          </w:p>
        </w:tc>
      </w:tr>
      <w:tr>
        <w:tc>
          <w:tcPr>
            <w:tcW w:type="dxa" w:w="792"/>
            <w:vAlign w:val="center"/>
            <w:tcMar>
              <w:top w:w="100" w:type="dxa"/>
              <w:start w:w="100" w:type="dxa"/>
              <w:bottom w:w="100" w:type="dxa"/>
              <w:end w:w="100" w:type="dxa"/>
            </w:tcMar>
          </w:tcPr>
          <w:p>
            <w:pPr>
              <w:spacing w:after="0"/>
            </w:pPr>
            <w:r>
              <w:rPr>
                <w:rFonts w:ascii="Aptos" w:hAnsi="Aptos"/>
                <w:sz w:val="18"/>
              </w:rPr>
              <w:t>9</w:t>
            </w:r>
          </w:p>
        </w:tc>
        <w:tc>
          <w:tcPr>
            <w:tcW w:type="dxa" w:w="2880"/>
            <w:vAlign w:val="center"/>
            <w:tcMar>
              <w:top w:w="100" w:type="dxa"/>
              <w:start w:w="100" w:type="dxa"/>
              <w:bottom w:w="100" w:type="dxa"/>
              <w:end w:w="100" w:type="dxa"/>
            </w:tcMar>
          </w:tcPr>
          <w:p>
            <w:pPr>
              <w:spacing w:after="0"/>
            </w:pPr>
            <w:r>
              <w:rPr>
                <w:rFonts w:ascii="Aptos" w:hAnsi="Aptos"/>
                <w:sz w:val="18"/>
              </w:rPr>
              <w:t>Limites &amp; biais</w:t>
            </w:r>
          </w:p>
        </w:tc>
        <w:tc>
          <w:tcPr>
            <w:tcW w:type="dxa" w:w="7056"/>
            <w:vAlign w:val="center"/>
            <w:tcMar>
              <w:top w:w="100" w:type="dxa"/>
              <w:start w:w="100" w:type="dxa"/>
              <w:bottom w:w="100" w:type="dxa"/>
              <w:end w:w="100" w:type="dxa"/>
            </w:tcMar>
          </w:tcPr>
          <w:p>
            <w:pPr>
              <w:spacing w:after="0"/>
            </w:pPr>
            <w:r>
              <w:rPr>
                <w:rFonts w:ascii="Aptos" w:hAnsi="Aptos"/>
                <w:sz w:val="18"/>
              </w:rPr>
              <w:t>Biais connus, angles morts et risques de manipulation.</w:t>
            </w:r>
          </w:p>
        </w:tc>
      </w:tr>
      <w:tr>
        <w:tc>
          <w:tcPr>
            <w:tcW w:type="dxa" w:w="792"/>
            <w:vAlign w:val="center"/>
            <w:tcMar>
              <w:top w:w="100" w:type="dxa"/>
              <w:start w:w="100" w:type="dxa"/>
              <w:bottom w:w="100" w:type="dxa"/>
              <w:end w:w="100" w:type="dxa"/>
            </w:tcMar>
          </w:tcPr>
          <w:p>
            <w:pPr>
              <w:spacing w:after="0"/>
            </w:pPr>
            <w:r>
              <w:rPr>
                <w:rFonts w:ascii="Aptos" w:hAnsi="Aptos"/>
                <w:sz w:val="18"/>
              </w:rPr>
              <w:t>10</w:t>
            </w:r>
          </w:p>
        </w:tc>
        <w:tc>
          <w:tcPr>
            <w:tcW w:type="dxa" w:w="2880"/>
            <w:vAlign w:val="center"/>
            <w:tcMar>
              <w:top w:w="100" w:type="dxa"/>
              <w:start w:w="100" w:type="dxa"/>
              <w:bottom w:w="100" w:type="dxa"/>
              <w:end w:w="100" w:type="dxa"/>
            </w:tcMar>
          </w:tcPr>
          <w:p>
            <w:pPr>
              <w:spacing w:after="0"/>
            </w:pPr>
            <w:r>
              <w:rPr>
                <w:rFonts w:ascii="Aptos" w:hAnsi="Aptos"/>
                <w:sz w:val="18"/>
              </w:rPr>
              <w:t>Contrôles qualité</w:t>
            </w:r>
          </w:p>
        </w:tc>
        <w:tc>
          <w:tcPr>
            <w:tcW w:type="dxa" w:w="7056"/>
            <w:vAlign w:val="center"/>
            <w:tcMar>
              <w:top w:w="100" w:type="dxa"/>
              <w:start w:w="100" w:type="dxa"/>
              <w:bottom w:w="100" w:type="dxa"/>
              <w:end w:w="100" w:type="dxa"/>
            </w:tcMar>
          </w:tcPr>
          <w:p>
            <w:pPr>
              <w:spacing w:after="0"/>
            </w:pPr>
            <w:r>
              <w:rPr>
                <w:rFonts w:ascii="Aptos" w:hAnsi="Aptos"/>
                <w:sz w:val="18"/>
              </w:rPr>
              <w:t>Rapprochement, audit, validation et intégrité.</w:t>
            </w:r>
          </w:p>
        </w:tc>
      </w:tr>
      <w:tr>
        <w:tc>
          <w:tcPr>
            <w:tcW w:type="dxa" w:w="792"/>
            <w:vAlign w:val="center"/>
            <w:tcMar>
              <w:top w:w="100" w:type="dxa"/>
              <w:start w:w="100" w:type="dxa"/>
              <w:bottom w:w="100" w:type="dxa"/>
              <w:end w:w="100" w:type="dxa"/>
            </w:tcMar>
          </w:tcPr>
          <w:p>
            <w:pPr>
              <w:spacing w:after="0"/>
            </w:pPr>
            <w:r>
              <w:rPr>
                <w:rFonts w:ascii="Aptos" w:hAnsi="Aptos"/>
                <w:sz w:val="18"/>
              </w:rPr>
              <w:t>11</w:t>
            </w:r>
          </w:p>
        </w:tc>
        <w:tc>
          <w:tcPr>
            <w:tcW w:type="dxa" w:w="2880"/>
            <w:vAlign w:val="center"/>
            <w:tcMar>
              <w:top w:w="100" w:type="dxa"/>
              <w:start w:w="100" w:type="dxa"/>
              <w:bottom w:w="100" w:type="dxa"/>
              <w:end w:w="100" w:type="dxa"/>
            </w:tcMar>
          </w:tcPr>
          <w:p>
            <w:pPr>
              <w:spacing w:after="0"/>
            </w:pPr>
            <w:r>
              <w:rPr>
                <w:rFonts w:ascii="Aptos" w:hAnsi="Aptos"/>
                <w:sz w:val="18"/>
              </w:rPr>
              <w:t>Décision associée</w:t>
            </w:r>
          </w:p>
        </w:tc>
        <w:tc>
          <w:tcPr>
            <w:tcW w:type="dxa" w:w="7056"/>
            <w:vAlign w:val="center"/>
            <w:tcMar>
              <w:top w:w="100" w:type="dxa"/>
              <w:start w:w="100" w:type="dxa"/>
              <w:bottom w:w="100" w:type="dxa"/>
              <w:end w:w="100" w:type="dxa"/>
            </w:tcMar>
          </w:tcPr>
          <w:p>
            <w:pPr>
              <w:spacing w:after="0"/>
            </w:pPr>
            <w:r>
              <w:rPr>
                <w:rFonts w:ascii="Aptos" w:hAnsi="Aptos"/>
                <w:sz w:val="18"/>
              </w:rPr>
              <w:t>Action déclenchée lorsque le seuil est franchi.</w:t>
            </w:r>
          </w:p>
        </w:tc>
      </w:tr>
    </w:tbl>
    <w:p/>
    <w:p>
      <w:pPr>
        <w:pStyle w:val="Heading2"/>
        <w:keepNext/>
      </w:pPr>
      <w:r>
        <w:t>4.1 Hiérarchie pratique des preuves</w:t>
      </w:r>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trPr>
        <w:tc>
          <w:tcPr>
            <w:tcW w:type="dxa" w:w="2016"/>
            <w:shd w:fill="17365D"/>
            <w:vAlign w:val="center"/>
            <w:tcMar>
              <w:top w:w="120" w:type="dxa"/>
              <w:start w:w="110" w:type="dxa"/>
              <w:bottom w:w="120" w:type="dxa"/>
              <w:end w:w="110" w:type="dxa"/>
            </w:tcMar>
          </w:tcPr>
          <w:p>
            <w:pPr>
              <w:jc w:val="center"/>
            </w:pPr>
            <w:r>
              <w:rPr>
                <w:b/>
                <w:color w:val="FFFFFF"/>
                <w:sz w:val="17"/>
              </w:rPr>
              <w:t>Type</w:t>
            </w:r>
          </w:p>
        </w:tc>
        <w:tc>
          <w:tcPr>
            <w:tcW w:type="dxa" w:w="3168"/>
            <w:shd w:fill="17365D"/>
            <w:vAlign w:val="center"/>
            <w:tcMar>
              <w:top w:w="120" w:type="dxa"/>
              <w:start w:w="110" w:type="dxa"/>
              <w:bottom w:w="120" w:type="dxa"/>
              <w:end w:w="110" w:type="dxa"/>
            </w:tcMar>
          </w:tcPr>
          <w:p>
            <w:pPr>
              <w:jc w:val="center"/>
            </w:pPr>
            <w:r>
              <w:rPr>
                <w:b/>
                <w:color w:val="FFFFFF"/>
                <w:sz w:val="17"/>
              </w:rPr>
              <w:t>Exemples</w:t>
            </w:r>
          </w:p>
        </w:tc>
        <w:tc>
          <w:tcPr>
            <w:tcW w:type="dxa" w:w="3888"/>
            <w:shd w:fill="17365D"/>
            <w:vAlign w:val="center"/>
            <w:tcMar>
              <w:top w:w="120" w:type="dxa"/>
              <w:start w:w="110" w:type="dxa"/>
              <w:bottom w:w="120" w:type="dxa"/>
              <w:end w:w="110" w:type="dxa"/>
            </w:tcMar>
          </w:tcPr>
          <w:p>
            <w:pPr>
              <w:jc w:val="center"/>
            </w:pPr>
            <w:r>
              <w:rPr>
                <w:b/>
                <w:color w:val="FFFFFF"/>
                <w:sz w:val="17"/>
              </w:rPr>
              <w:t>Contrôle qualité</w:t>
            </w:r>
          </w:p>
        </w:tc>
        <w:tc>
          <w:tcPr>
            <w:tcW w:type="dxa" w:w="1800"/>
            <w:shd w:fill="17365D"/>
            <w:vAlign w:val="center"/>
            <w:tcMar>
              <w:top w:w="120" w:type="dxa"/>
              <w:start w:w="110" w:type="dxa"/>
              <w:bottom w:w="120" w:type="dxa"/>
              <w:end w:w="110" w:type="dxa"/>
            </w:tcMar>
          </w:tcPr>
          <w:p>
            <w:pPr>
              <w:jc w:val="center"/>
            </w:pPr>
            <w:r>
              <w:rPr>
                <w:b/>
                <w:color w:val="FFFFFF"/>
                <w:sz w:val="17"/>
              </w:rPr>
              <w:t>Confiance</w:t>
            </w:r>
          </w:p>
        </w:tc>
      </w:tr>
      <w:tr>
        <w:tc>
          <w:tcPr>
            <w:tcW w:type="dxa" w:w="2016"/>
            <w:vAlign w:val="center"/>
            <w:tcMar>
              <w:top w:w="100" w:type="dxa"/>
              <w:start w:w="100" w:type="dxa"/>
              <w:bottom w:w="100" w:type="dxa"/>
              <w:end w:w="100" w:type="dxa"/>
            </w:tcMar>
          </w:tcPr>
          <w:p>
            <w:pPr>
              <w:spacing w:after="0"/>
            </w:pPr>
            <w:r>
              <w:rPr>
                <w:rFonts w:ascii="Aptos" w:hAnsi="Aptos"/>
                <w:sz w:val="17"/>
              </w:rPr>
              <w:t>Documents officiels</w:t>
            </w:r>
          </w:p>
        </w:tc>
        <w:tc>
          <w:tcPr>
            <w:tcW w:type="dxa" w:w="3168"/>
            <w:vAlign w:val="center"/>
            <w:tcMar>
              <w:top w:w="100" w:type="dxa"/>
              <w:start w:w="100" w:type="dxa"/>
              <w:bottom w:w="100" w:type="dxa"/>
              <w:end w:w="100" w:type="dxa"/>
            </w:tcMar>
          </w:tcPr>
          <w:p>
            <w:pPr>
              <w:spacing w:after="0"/>
            </w:pPr>
            <w:r>
              <w:rPr>
                <w:rFonts w:ascii="Aptos" w:hAnsi="Aptos"/>
                <w:sz w:val="17"/>
              </w:rPr>
              <w:t>Textes, contrats, PV, délibérations</w:t>
            </w:r>
          </w:p>
        </w:tc>
        <w:tc>
          <w:tcPr>
            <w:tcW w:type="dxa" w:w="3888"/>
            <w:vAlign w:val="center"/>
            <w:tcMar>
              <w:top w:w="100" w:type="dxa"/>
              <w:start w:w="100" w:type="dxa"/>
              <w:bottom w:w="100" w:type="dxa"/>
              <w:end w:w="100" w:type="dxa"/>
            </w:tcMar>
          </w:tcPr>
          <w:p>
            <w:pPr>
              <w:spacing w:after="0"/>
            </w:pPr>
            <w:r>
              <w:rPr>
                <w:rFonts w:ascii="Aptos" w:hAnsi="Aptos"/>
                <w:sz w:val="17"/>
              </w:rPr>
              <w:t>Authenticité, signature, version</w:t>
            </w:r>
          </w:p>
        </w:tc>
        <w:tc>
          <w:tcPr>
            <w:tcW w:type="dxa" w:w="1800"/>
            <w:vAlign w:val="center"/>
            <w:tcMar>
              <w:top w:w="100" w:type="dxa"/>
              <w:start w:w="100" w:type="dxa"/>
              <w:bottom w:w="100" w:type="dxa"/>
              <w:end w:w="100" w:type="dxa"/>
            </w:tcMar>
          </w:tcPr>
          <w:p>
            <w:pPr>
              <w:spacing w:after="0"/>
            </w:pPr>
            <w:r>
              <w:rPr>
                <w:rFonts w:ascii="Aptos" w:hAnsi="Aptos"/>
                <w:sz w:val="17"/>
              </w:rPr>
              <w:t>Élevé</w:t>
            </w:r>
          </w:p>
        </w:tc>
      </w:tr>
      <w:tr>
        <w:tc>
          <w:tcPr>
            <w:tcW w:type="dxa" w:w="2016"/>
            <w:vAlign w:val="center"/>
            <w:tcMar>
              <w:top w:w="100" w:type="dxa"/>
              <w:start w:w="100" w:type="dxa"/>
              <w:bottom w:w="100" w:type="dxa"/>
              <w:end w:w="100" w:type="dxa"/>
            </w:tcMar>
          </w:tcPr>
          <w:p>
            <w:pPr>
              <w:spacing w:after="0"/>
            </w:pPr>
            <w:r>
              <w:rPr>
                <w:rFonts w:ascii="Aptos" w:hAnsi="Aptos"/>
                <w:sz w:val="17"/>
              </w:rPr>
              <w:t>Données SI / registres</w:t>
            </w:r>
          </w:p>
        </w:tc>
        <w:tc>
          <w:tcPr>
            <w:tcW w:type="dxa" w:w="3168"/>
            <w:vAlign w:val="center"/>
            <w:tcMar>
              <w:top w:w="100" w:type="dxa"/>
              <w:start w:w="100" w:type="dxa"/>
              <w:bottom w:w="100" w:type="dxa"/>
              <w:end w:w="100" w:type="dxa"/>
            </w:tcMar>
          </w:tcPr>
          <w:p>
            <w:pPr>
              <w:spacing w:after="0"/>
            </w:pPr>
            <w:r>
              <w:rPr>
                <w:rFonts w:ascii="Aptos" w:hAnsi="Aptos"/>
                <w:sz w:val="17"/>
              </w:rPr>
              <w:t>ERP, bases métiers, fichiers comptables</w:t>
            </w:r>
          </w:p>
        </w:tc>
        <w:tc>
          <w:tcPr>
            <w:tcW w:type="dxa" w:w="3888"/>
            <w:vAlign w:val="center"/>
            <w:tcMar>
              <w:top w:w="100" w:type="dxa"/>
              <w:start w:w="100" w:type="dxa"/>
              <w:bottom w:w="100" w:type="dxa"/>
              <w:end w:w="100" w:type="dxa"/>
            </w:tcMar>
          </w:tcPr>
          <w:p>
            <w:pPr>
              <w:spacing w:after="0"/>
            </w:pPr>
            <w:r>
              <w:rPr>
                <w:rFonts w:ascii="Aptos" w:hAnsi="Aptos"/>
                <w:sz w:val="17"/>
              </w:rPr>
              <w:t>Complétude, intégrité, historique</w:t>
            </w:r>
          </w:p>
        </w:tc>
        <w:tc>
          <w:tcPr>
            <w:tcW w:type="dxa" w:w="1800"/>
            <w:vAlign w:val="center"/>
            <w:tcMar>
              <w:top w:w="100" w:type="dxa"/>
              <w:start w:w="100" w:type="dxa"/>
              <w:bottom w:w="100" w:type="dxa"/>
              <w:end w:w="100" w:type="dxa"/>
            </w:tcMar>
          </w:tcPr>
          <w:p>
            <w:pPr>
              <w:spacing w:after="0"/>
            </w:pPr>
            <w:r>
              <w:rPr>
                <w:rFonts w:ascii="Aptos" w:hAnsi="Aptos"/>
                <w:sz w:val="17"/>
              </w:rPr>
              <w:t>Très élevé</w:t>
            </w:r>
          </w:p>
        </w:tc>
      </w:tr>
      <w:tr>
        <w:tc>
          <w:tcPr>
            <w:tcW w:type="dxa" w:w="2016"/>
            <w:vAlign w:val="center"/>
            <w:tcMar>
              <w:top w:w="100" w:type="dxa"/>
              <w:start w:w="100" w:type="dxa"/>
              <w:bottom w:w="100" w:type="dxa"/>
              <w:end w:w="100" w:type="dxa"/>
            </w:tcMar>
          </w:tcPr>
          <w:p>
            <w:pPr>
              <w:spacing w:after="0"/>
            </w:pPr>
            <w:r>
              <w:rPr>
                <w:rFonts w:ascii="Aptos" w:hAnsi="Aptos"/>
                <w:sz w:val="17"/>
              </w:rPr>
              <w:t>Observations directes</w:t>
            </w:r>
          </w:p>
        </w:tc>
        <w:tc>
          <w:tcPr>
            <w:tcW w:type="dxa" w:w="3168"/>
            <w:vAlign w:val="center"/>
            <w:tcMar>
              <w:top w:w="100" w:type="dxa"/>
              <w:start w:w="100" w:type="dxa"/>
              <w:bottom w:w="100" w:type="dxa"/>
              <w:end w:w="100" w:type="dxa"/>
            </w:tcMar>
          </w:tcPr>
          <w:p>
            <w:pPr>
              <w:spacing w:after="0"/>
            </w:pPr>
            <w:r>
              <w:rPr>
                <w:rFonts w:ascii="Aptos" w:hAnsi="Aptos"/>
                <w:sz w:val="17"/>
              </w:rPr>
              <w:t>Inspection, constat terrain</w:t>
            </w:r>
          </w:p>
        </w:tc>
        <w:tc>
          <w:tcPr>
            <w:tcW w:type="dxa" w:w="3888"/>
            <w:vAlign w:val="center"/>
            <w:tcMar>
              <w:top w:w="100" w:type="dxa"/>
              <w:start w:w="100" w:type="dxa"/>
              <w:bottom w:w="100" w:type="dxa"/>
              <w:end w:w="100" w:type="dxa"/>
            </w:tcMar>
          </w:tcPr>
          <w:p>
            <w:pPr>
              <w:spacing w:after="0"/>
            </w:pPr>
            <w:r>
              <w:rPr>
                <w:rFonts w:ascii="Aptos" w:hAnsi="Aptos"/>
                <w:sz w:val="17"/>
              </w:rPr>
              <w:t>Protocole, impartialité, traçabilité</w:t>
            </w:r>
          </w:p>
        </w:tc>
        <w:tc>
          <w:tcPr>
            <w:tcW w:type="dxa" w:w="1800"/>
            <w:vAlign w:val="center"/>
            <w:tcMar>
              <w:top w:w="100" w:type="dxa"/>
              <w:start w:w="100" w:type="dxa"/>
              <w:bottom w:w="100" w:type="dxa"/>
              <w:end w:w="100" w:type="dxa"/>
            </w:tcMar>
          </w:tcPr>
          <w:p>
            <w:pPr>
              <w:spacing w:after="0"/>
            </w:pPr>
            <w:r>
              <w:rPr>
                <w:rFonts w:ascii="Aptos" w:hAnsi="Aptos"/>
                <w:sz w:val="17"/>
              </w:rPr>
              <w:t>Très élevé</w:t>
            </w:r>
          </w:p>
        </w:tc>
      </w:tr>
      <w:tr>
        <w:tc>
          <w:tcPr>
            <w:tcW w:type="dxa" w:w="2016"/>
            <w:vAlign w:val="center"/>
            <w:tcMar>
              <w:top w:w="100" w:type="dxa"/>
              <w:start w:w="100" w:type="dxa"/>
              <w:bottom w:w="100" w:type="dxa"/>
              <w:end w:w="100" w:type="dxa"/>
            </w:tcMar>
          </w:tcPr>
          <w:p>
            <w:pPr>
              <w:spacing w:after="0"/>
            </w:pPr>
            <w:r>
              <w:rPr>
                <w:rFonts w:ascii="Aptos" w:hAnsi="Aptos"/>
                <w:sz w:val="17"/>
              </w:rPr>
              <w:t>Enquêtes / témoignages</w:t>
            </w:r>
          </w:p>
        </w:tc>
        <w:tc>
          <w:tcPr>
            <w:tcW w:type="dxa" w:w="3168"/>
            <w:vAlign w:val="center"/>
            <w:tcMar>
              <w:top w:w="100" w:type="dxa"/>
              <w:start w:w="100" w:type="dxa"/>
              <w:bottom w:w="100" w:type="dxa"/>
              <w:end w:w="100" w:type="dxa"/>
            </w:tcMar>
          </w:tcPr>
          <w:p>
            <w:pPr>
              <w:spacing w:after="0"/>
            </w:pPr>
            <w:r>
              <w:rPr>
                <w:rFonts w:ascii="Aptos" w:hAnsi="Aptos"/>
                <w:sz w:val="17"/>
              </w:rPr>
              <w:t>Satisfaction, panels, réclamations</w:t>
            </w:r>
          </w:p>
        </w:tc>
        <w:tc>
          <w:tcPr>
            <w:tcW w:type="dxa" w:w="3888"/>
            <w:vAlign w:val="center"/>
            <w:tcMar>
              <w:top w:w="100" w:type="dxa"/>
              <w:start w:w="100" w:type="dxa"/>
              <w:bottom w:w="100" w:type="dxa"/>
              <w:end w:w="100" w:type="dxa"/>
            </w:tcMar>
          </w:tcPr>
          <w:p>
            <w:pPr>
              <w:spacing w:after="0"/>
            </w:pPr>
            <w:r>
              <w:rPr>
                <w:rFonts w:ascii="Aptos" w:hAnsi="Aptos"/>
                <w:sz w:val="17"/>
              </w:rPr>
              <w:t>Échantillon, neutralité, taux de réponse</w:t>
            </w:r>
          </w:p>
        </w:tc>
        <w:tc>
          <w:tcPr>
            <w:tcW w:type="dxa" w:w="1800"/>
            <w:vAlign w:val="center"/>
            <w:tcMar>
              <w:top w:w="100" w:type="dxa"/>
              <w:start w:w="100" w:type="dxa"/>
              <w:bottom w:w="100" w:type="dxa"/>
              <w:end w:w="100" w:type="dxa"/>
            </w:tcMar>
          </w:tcPr>
          <w:p>
            <w:pPr>
              <w:spacing w:after="0"/>
            </w:pPr>
            <w:r>
              <w:rPr>
                <w:rFonts w:ascii="Aptos" w:hAnsi="Aptos"/>
                <w:sz w:val="17"/>
              </w:rPr>
              <w:t>Moyen</w:t>
            </w:r>
          </w:p>
        </w:tc>
      </w:tr>
      <w:tr>
        <w:tc>
          <w:tcPr>
            <w:tcW w:type="dxa" w:w="2016"/>
            <w:vAlign w:val="center"/>
            <w:tcMar>
              <w:top w:w="100" w:type="dxa"/>
              <w:start w:w="100" w:type="dxa"/>
              <w:bottom w:w="100" w:type="dxa"/>
              <w:end w:w="100" w:type="dxa"/>
            </w:tcMar>
          </w:tcPr>
          <w:p>
            <w:pPr>
              <w:spacing w:after="0"/>
            </w:pPr>
            <w:r>
              <w:rPr>
                <w:rFonts w:ascii="Aptos" w:hAnsi="Aptos"/>
                <w:sz w:val="17"/>
              </w:rPr>
              <w:t>Traces applicatives</w:t>
            </w:r>
          </w:p>
        </w:tc>
        <w:tc>
          <w:tcPr>
            <w:tcW w:type="dxa" w:w="3168"/>
            <w:vAlign w:val="center"/>
            <w:tcMar>
              <w:top w:w="100" w:type="dxa"/>
              <w:start w:w="100" w:type="dxa"/>
              <w:bottom w:w="100" w:type="dxa"/>
              <w:end w:w="100" w:type="dxa"/>
            </w:tcMar>
          </w:tcPr>
          <w:p>
            <w:pPr>
              <w:spacing w:after="0"/>
            </w:pPr>
            <w:r>
              <w:rPr>
                <w:rFonts w:ascii="Aptos" w:hAnsi="Aptos"/>
                <w:sz w:val="17"/>
              </w:rPr>
              <w:t>Logs, workflows, signatures électroniques</w:t>
            </w:r>
          </w:p>
        </w:tc>
        <w:tc>
          <w:tcPr>
            <w:tcW w:type="dxa" w:w="3888"/>
            <w:vAlign w:val="center"/>
            <w:tcMar>
              <w:top w:w="100" w:type="dxa"/>
              <w:start w:w="100" w:type="dxa"/>
              <w:bottom w:w="100" w:type="dxa"/>
              <w:end w:w="100" w:type="dxa"/>
            </w:tcMar>
          </w:tcPr>
          <w:p>
            <w:pPr>
              <w:spacing w:after="0"/>
            </w:pPr>
            <w:r>
              <w:rPr>
                <w:rFonts w:ascii="Aptos" w:hAnsi="Aptos"/>
                <w:sz w:val="17"/>
              </w:rPr>
              <w:t>Inaltérabilité, horodatage</w:t>
            </w:r>
          </w:p>
        </w:tc>
        <w:tc>
          <w:tcPr>
            <w:tcW w:type="dxa" w:w="1800"/>
            <w:vAlign w:val="center"/>
            <w:tcMar>
              <w:top w:w="100" w:type="dxa"/>
              <w:start w:w="100" w:type="dxa"/>
              <w:bottom w:w="100" w:type="dxa"/>
              <w:end w:w="100" w:type="dxa"/>
            </w:tcMar>
          </w:tcPr>
          <w:p>
            <w:pPr>
              <w:spacing w:after="0"/>
            </w:pPr>
            <w:r>
              <w:rPr>
                <w:rFonts w:ascii="Aptos" w:hAnsi="Aptos"/>
                <w:sz w:val="17"/>
              </w:rPr>
              <w:t>Très élevé si contrôlé</w:t>
            </w:r>
          </w:p>
        </w:tc>
      </w:tr>
      <w:tr>
        <w:tc>
          <w:tcPr>
            <w:tcW w:type="dxa" w:w="2016"/>
            <w:vAlign w:val="center"/>
            <w:tcMar>
              <w:top w:w="100" w:type="dxa"/>
              <w:start w:w="100" w:type="dxa"/>
              <w:bottom w:w="100" w:type="dxa"/>
              <w:end w:w="100" w:type="dxa"/>
            </w:tcMar>
          </w:tcPr>
          <w:p>
            <w:pPr>
              <w:spacing w:after="0"/>
            </w:pPr>
            <w:r>
              <w:rPr>
                <w:rFonts w:ascii="Aptos" w:hAnsi="Aptos"/>
                <w:sz w:val="17"/>
              </w:rPr>
              <w:t>Analyses IA</w:t>
            </w:r>
          </w:p>
        </w:tc>
        <w:tc>
          <w:tcPr>
            <w:tcW w:type="dxa" w:w="3168"/>
            <w:vAlign w:val="center"/>
            <w:tcMar>
              <w:top w:w="100" w:type="dxa"/>
              <w:start w:w="100" w:type="dxa"/>
              <w:bottom w:w="100" w:type="dxa"/>
              <w:end w:w="100" w:type="dxa"/>
            </w:tcMar>
          </w:tcPr>
          <w:p>
            <w:pPr>
              <w:spacing w:after="0"/>
            </w:pPr>
            <w:r>
              <w:rPr>
                <w:rFonts w:ascii="Aptos" w:hAnsi="Aptos"/>
                <w:sz w:val="17"/>
              </w:rPr>
              <w:t>Anomalies, synthèses, NLP</w:t>
            </w:r>
          </w:p>
        </w:tc>
        <w:tc>
          <w:tcPr>
            <w:tcW w:type="dxa" w:w="3888"/>
            <w:vAlign w:val="center"/>
            <w:tcMar>
              <w:top w:w="100" w:type="dxa"/>
              <w:start w:w="100" w:type="dxa"/>
              <w:bottom w:w="100" w:type="dxa"/>
              <w:end w:w="100" w:type="dxa"/>
            </w:tcMar>
          </w:tcPr>
          <w:p>
            <w:pPr>
              <w:spacing w:after="0"/>
            </w:pPr>
            <w:r>
              <w:rPr>
                <w:rFonts w:ascii="Aptos" w:hAnsi="Aptos"/>
                <w:sz w:val="17"/>
              </w:rPr>
              <w:t>Sources, prompt, biais, validation humaine</w:t>
            </w:r>
          </w:p>
        </w:tc>
        <w:tc>
          <w:tcPr>
            <w:tcW w:type="dxa" w:w="1800"/>
            <w:vAlign w:val="center"/>
            <w:tcMar>
              <w:top w:w="100" w:type="dxa"/>
              <w:start w:w="100" w:type="dxa"/>
              <w:bottom w:w="100" w:type="dxa"/>
              <w:end w:w="100" w:type="dxa"/>
            </w:tcMar>
          </w:tcPr>
          <w:p>
            <w:pPr>
              <w:spacing w:after="0"/>
            </w:pPr>
            <w:r>
              <w:rPr>
                <w:rFonts w:ascii="Aptos" w:hAnsi="Aptos"/>
                <w:sz w:val="17"/>
              </w:rPr>
              <w:t>Conditionnel</w:t>
            </w:r>
          </w:p>
        </w:tc>
      </w:tr>
    </w:tbl>
    <w:p/>
    <w:tbl>
      <w:tblPr>
        <w:tblW w:type="auto" w:w="0"/>
        <w:jc w:val="center"/>
        <w:tblLook w:firstColumn="1" w:firstRow="1" w:lastColumn="0" w:lastRow="0" w:noHBand="0" w:noVBand="1" w:val="04A0"/>
      </w:tblPr>
      <w:tblGrid>
        <w:gridCol w:w="10080"/>
      </w:tblGrid>
      <w:tr>
        <w:trPr>
          <w:cantSplit/>
        </w:trPr>
        <w:tc>
          <w:tcPr>
            <w:tcW w:type="dxa" w:w="10080"/>
            <w:shd w:fill="FFF2CC"/>
            <w:tcMar>
              <w:top w:w="140" w:type="dxa"/>
              <w:start w:w="160" w:type="dxa"/>
              <w:bottom w:w="140" w:type="dxa"/>
              <w:end w:w="160" w:type="dxa"/>
            </w:tcMar>
          </w:tcPr>
          <w:p>
            <w:r>
              <w:rPr>
                <w:b/>
                <w:color w:val="1F4E79"/>
                <w:sz w:val="21"/>
              </w:rPr>
              <w:t xml:space="preserve">Principe de preuve  </w:t>
            </w:r>
            <w:r>
              <w:rPr>
                <w:sz w:val="21"/>
              </w:rPr>
              <w:t>La production d’une IA n’est pas une preuve primaire. Elle devient un élément d’analyse seulement si ses sources, transformations et validations humaines sont traçables.</w:t>
            </w:r>
          </w:p>
        </w:tc>
      </w:tr>
    </w:tbl>
    <w:p/>
    <w:p>
      <w:pPr>
        <w:pStyle w:val="Heading1"/>
        <w:keepNext/>
      </w:pPr>
      <w:r>
        <w:t>5. Diagnostic capacitaire ICAP® : vérifier la capacité avant de contractualiser la performance</w:t>
      </w:r>
    </w:p>
    <w:p>
      <w:r>
        <w:t>Fixer une cible sans examiner les capacités revient à contractualiser une intention. Le diagnostic capacitaire identifie les contraintes structurelles qui peuvent empêcher l’exécution et permet de distinguer un problème de volonté, de processus, de ressource, de compétence, de donnée ou de gouvernance.</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2232"/>
            <w:shd w:fill="17365D"/>
            <w:vAlign w:val="center"/>
            <w:tcMar>
              <w:top w:w="120" w:type="dxa"/>
              <w:start w:w="110" w:type="dxa"/>
              <w:bottom w:w="120" w:type="dxa"/>
              <w:end w:w="110" w:type="dxa"/>
            </w:tcMar>
          </w:tcPr>
          <w:p>
            <w:pPr>
              <w:jc w:val="center"/>
            </w:pPr>
            <w:r>
              <w:rPr>
                <w:b/>
                <w:color w:val="FFFFFF"/>
                <w:sz w:val="17"/>
              </w:rPr>
              <w:t>Niveau</w:t>
            </w:r>
          </w:p>
        </w:tc>
        <w:tc>
          <w:tcPr>
            <w:tcW w:type="dxa" w:w="4392"/>
            <w:shd w:fill="17365D"/>
            <w:vAlign w:val="center"/>
            <w:tcMar>
              <w:top w:w="120" w:type="dxa"/>
              <w:start w:w="110" w:type="dxa"/>
              <w:bottom w:w="120" w:type="dxa"/>
              <w:end w:w="110" w:type="dxa"/>
            </w:tcMar>
          </w:tcPr>
          <w:p>
            <w:pPr>
              <w:jc w:val="center"/>
            </w:pPr>
            <w:r>
              <w:rPr>
                <w:b/>
                <w:color w:val="FFFFFF"/>
                <w:sz w:val="17"/>
              </w:rPr>
              <w:t>Lecture générique</w:t>
            </w:r>
          </w:p>
        </w:tc>
        <w:tc>
          <w:tcPr>
            <w:tcW w:type="dxa" w:w="4320"/>
            <w:shd w:fill="17365D"/>
            <w:vAlign w:val="center"/>
            <w:tcMar>
              <w:top w:w="120" w:type="dxa"/>
              <w:start w:w="110" w:type="dxa"/>
              <w:bottom w:w="120" w:type="dxa"/>
              <w:end w:w="110" w:type="dxa"/>
            </w:tcMar>
          </w:tcPr>
          <w:p>
            <w:pPr>
              <w:jc w:val="center"/>
            </w:pPr>
            <w:r>
              <w:rPr>
                <w:b/>
                <w:color w:val="FFFFFF"/>
                <w:sz w:val="17"/>
              </w:rPr>
              <w:t>Question de management</w:t>
            </w:r>
          </w:p>
        </w:tc>
      </w:tr>
      <w:tr>
        <w:tc>
          <w:tcPr>
            <w:tcW w:type="dxa" w:w="2232"/>
            <w:vAlign w:val="center"/>
            <w:tcMar>
              <w:top w:w="100" w:type="dxa"/>
              <w:start w:w="100" w:type="dxa"/>
              <w:bottom w:w="100" w:type="dxa"/>
              <w:end w:w="100" w:type="dxa"/>
            </w:tcMar>
          </w:tcPr>
          <w:p>
            <w:pPr>
              <w:spacing w:after="0"/>
            </w:pPr>
            <w:r>
              <w:rPr>
                <w:rFonts w:ascii="Aptos" w:hAnsi="Aptos"/>
                <w:sz w:val="17"/>
              </w:rPr>
              <w:t>L1 — Faible</w:t>
            </w:r>
          </w:p>
        </w:tc>
        <w:tc>
          <w:tcPr>
            <w:tcW w:type="dxa" w:w="4392"/>
            <w:vAlign w:val="center"/>
            <w:tcMar>
              <w:top w:w="100" w:type="dxa"/>
              <w:start w:w="100" w:type="dxa"/>
              <w:bottom w:w="100" w:type="dxa"/>
              <w:end w:w="100" w:type="dxa"/>
            </w:tcMar>
          </w:tcPr>
          <w:p>
            <w:pPr>
              <w:spacing w:after="0"/>
            </w:pPr>
            <w:r>
              <w:rPr>
                <w:rFonts w:ascii="Aptos" w:hAnsi="Aptos"/>
                <w:sz w:val="17"/>
              </w:rPr>
              <w:t>Ad hoc, informel, réactif.</w:t>
            </w:r>
          </w:p>
        </w:tc>
        <w:tc>
          <w:tcPr>
            <w:tcW w:type="dxa" w:w="4320"/>
            <w:vAlign w:val="center"/>
            <w:tcMar>
              <w:top w:w="100" w:type="dxa"/>
              <w:start w:w="100" w:type="dxa"/>
              <w:bottom w:w="100" w:type="dxa"/>
              <w:end w:w="100" w:type="dxa"/>
            </w:tcMar>
          </w:tcPr>
          <w:p>
            <w:pPr>
              <w:spacing w:after="0"/>
            </w:pPr>
            <w:r>
              <w:rPr>
                <w:rFonts w:ascii="Aptos" w:hAnsi="Aptos"/>
                <w:sz w:val="17"/>
              </w:rPr>
              <w:t>Le résultat dépend-il essentiellement d’individus et d’improvisations ?</w:t>
            </w:r>
          </w:p>
        </w:tc>
      </w:tr>
      <w:tr>
        <w:tc>
          <w:tcPr>
            <w:tcW w:type="dxa" w:w="2232"/>
            <w:vAlign w:val="center"/>
            <w:tcMar>
              <w:top w:w="100" w:type="dxa"/>
              <w:start w:w="100" w:type="dxa"/>
              <w:bottom w:w="100" w:type="dxa"/>
              <w:end w:w="100" w:type="dxa"/>
            </w:tcMar>
          </w:tcPr>
          <w:p>
            <w:pPr>
              <w:spacing w:after="0"/>
            </w:pPr>
            <w:r>
              <w:rPr>
                <w:rFonts w:ascii="Aptos" w:hAnsi="Aptos"/>
                <w:sz w:val="17"/>
              </w:rPr>
              <w:t>L2 — Émergent</w:t>
            </w:r>
          </w:p>
        </w:tc>
        <w:tc>
          <w:tcPr>
            <w:tcW w:type="dxa" w:w="4392"/>
            <w:vAlign w:val="center"/>
            <w:tcMar>
              <w:top w:w="100" w:type="dxa"/>
              <w:start w:w="100" w:type="dxa"/>
              <w:bottom w:w="100" w:type="dxa"/>
              <w:end w:w="100" w:type="dxa"/>
            </w:tcMar>
          </w:tcPr>
          <w:p>
            <w:pPr>
              <w:spacing w:after="0"/>
            </w:pPr>
            <w:r>
              <w:rPr>
                <w:rFonts w:ascii="Aptos" w:hAnsi="Aptos"/>
                <w:sz w:val="17"/>
              </w:rPr>
              <w:t>Fragmenté, inconstant.</w:t>
            </w:r>
          </w:p>
        </w:tc>
        <w:tc>
          <w:tcPr>
            <w:tcW w:type="dxa" w:w="4320"/>
            <w:vAlign w:val="center"/>
            <w:tcMar>
              <w:top w:w="100" w:type="dxa"/>
              <w:start w:w="100" w:type="dxa"/>
              <w:bottom w:w="100" w:type="dxa"/>
              <w:end w:w="100" w:type="dxa"/>
            </w:tcMar>
          </w:tcPr>
          <w:p>
            <w:pPr>
              <w:spacing w:after="0"/>
            </w:pPr>
            <w:r>
              <w:rPr>
                <w:rFonts w:ascii="Aptos" w:hAnsi="Aptos"/>
                <w:sz w:val="17"/>
              </w:rPr>
              <w:t>Certaines pratiques existent-elles sans standard commun ?</w:t>
            </w:r>
          </w:p>
        </w:tc>
      </w:tr>
      <w:tr>
        <w:tc>
          <w:tcPr>
            <w:tcW w:type="dxa" w:w="2232"/>
            <w:vAlign w:val="center"/>
            <w:tcMar>
              <w:top w:w="100" w:type="dxa"/>
              <w:start w:w="100" w:type="dxa"/>
              <w:bottom w:w="100" w:type="dxa"/>
              <w:end w:w="100" w:type="dxa"/>
            </w:tcMar>
          </w:tcPr>
          <w:p>
            <w:pPr>
              <w:spacing w:after="0"/>
            </w:pPr>
            <w:r>
              <w:rPr>
                <w:rFonts w:ascii="Aptos" w:hAnsi="Aptos"/>
                <w:sz w:val="17"/>
              </w:rPr>
              <w:t>L3 — Structuré</w:t>
            </w:r>
          </w:p>
        </w:tc>
        <w:tc>
          <w:tcPr>
            <w:tcW w:type="dxa" w:w="4392"/>
            <w:vAlign w:val="center"/>
            <w:tcMar>
              <w:top w:w="100" w:type="dxa"/>
              <w:start w:w="100" w:type="dxa"/>
              <w:bottom w:w="100" w:type="dxa"/>
              <w:end w:w="100" w:type="dxa"/>
            </w:tcMar>
          </w:tcPr>
          <w:p>
            <w:pPr>
              <w:spacing w:after="0"/>
            </w:pPr>
            <w:r>
              <w:rPr>
                <w:rFonts w:ascii="Aptos" w:hAnsi="Aptos"/>
                <w:sz w:val="17"/>
              </w:rPr>
              <w:t>Documenté, standardisé, institutionnalisé.</w:t>
            </w:r>
          </w:p>
        </w:tc>
        <w:tc>
          <w:tcPr>
            <w:tcW w:type="dxa" w:w="4320"/>
            <w:vAlign w:val="center"/>
            <w:tcMar>
              <w:top w:w="100" w:type="dxa"/>
              <w:start w:w="100" w:type="dxa"/>
              <w:bottom w:w="100" w:type="dxa"/>
              <w:end w:w="100" w:type="dxa"/>
            </w:tcMar>
          </w:tcPr>
          <w:p>
            <w:pPr>
              <w:spacing w:after="0"/>
            </w:pPr>
            <w:r>
              <w:rPr>
                <w:rFonts w:ascii="Aptos" w:hAnsi="Aptos"/>
                <w:sz w:val="17"/>
              </w:rPr>
              <w:t>Les rôles, processus et preuves sont-ils stabilisés ?</w:t>
            </w:r>
          </w:p>
        </w:tc>
      </w:tr>
      <w:tr>
        <w:tc>
          <w:tcPr>
            <w:tcW w:type="dxa" w:w="2232"/>
            <w:vAlign w:val="center"/>
            <w:tcMar>
              <w:top w:w="100" w:type="dxa"/>
              <w:start w:w="100" w:type="dxa"/>
              <w:bottom w:w="100" w:type="dxa"/>
              <w:end w:w="100" w:type="dxa"/>
            </w:tcMar>
          </w:tcPr>
          <w:p>
            <w:pPr>
              <w:spacing w:after="0"/>
            </w:pPr>
            <w:r>
              <w:rPr>
                <w:rFonts w:ascii="Aptos" w:hAnsi="Aptos"/>
                <w:sz w:val="17"/>
              </w:rPr>
              <w:t>L4 — Maîtrisé</w:t>
            </w:r>
          </w:p>
        </w:tc>
        <w:tc>
          <w:tcPr>
            <w:tcW w:type="dxa" w:w="4392"/>
            <w:vAlign w:val="center"/>
            <w:tcMar>
              <w:top w:w="100" w:type="dxa"/>
              <w:start w:w="100" w:type="dxa"/>
              <w:bottom w:w="100" w:type="dxa"/>
              <w:end w:w="100" w:type="dxa"/>
            </w:tcMar>
          </w:tcPr>
          <w:p>
            <w:pPr>
              <w:spacing w:after="0"/>
            </w:pPr>
            <w:r>
              <w:rPr>
                <w:rFonts w:ascii="Aptos" w:hAnsi="Aptos"/>
                <w:sz w:val="17"/>
              </w:rPr>
              <w:t>Mesuré, piloté par les données, contrôlé.</w:t>
            </w:r>
          </w:p>
        </w:tc>
        <w:tc>
          <w:tcPr>
            <w:tcW w:type="dxa" w:w="4320"/>
            <w:vAlign w:val="center"/>
            <w:tcMar>
              <w:top w:w="100" w:type="dxa"/>
              <w:start w:w="100" w:type="dxa"/>
              <w:bottom w:w="100" w:type="dxa"/>
              <w:end w:w="100" w:type="dxa"/>
            </w:tcMar>
          </w:tcPr>
          <w:p>
            <w:pPr>
              <w:spacing w:after="0"/>
            </w:pPr>
            <w:r>
              <w:rPr>
                <w:rFonts w:ascii="Aptos" w:hAnsi="Aptos"/>
                <w:sz w:val="17"/>
              </w:rPr>
              <w:t>La performance est-elle suivie et corrigée de façon régulière ?</w:t>
            </w:r>
          </w:p>
        </w:tc>
      </w:tr>
      <w:tr>
        <w:tc>
          <w:tcPr>
            <w:tcW w:type="dxa" w:w="2232"/>
            <w:vAlign w:val="center"/>
            <w:tcMar>
              <w:top w:w="100" w:type="dxa"/>
              <w:start w:w="100" w:type="dxa"/>
              <w:bottom w:w="100" w:type="dxa"/>
              <w:end w:w="100" w:type="dxa"/>
            </w:tcMar>
          </w:tcPr>
          <w:p>
            <w:pPr>
              <w:spacing w:after="0"/>
            </w:pPr>
            <w:r>
              <w:rPr>
                <w:rFonts w:ascii="Aptos" w:hAnsi="Aptos"/>
                <w:sz w:val="17"/>
              </w:rPr>
              <w:t>L5 — Intégré</w:t>
            </w:r>
          </w:p>
        </w:tc>
        <w:tc>
          <w:tcPr>
            <w:tcW w:type="dxa" w:w="4392"/>
            <w:vAlign w:val="center"/>
            <w:tcMar>
              <w:top w:w="100" w:type="dxa"/>
              <w:start w:w="100" w:type="dxa"/>
              <w:bottom w:w="100" w:type="dxa"/>
              <w:end w:w="100" w:type="dxa"/>
            </w:tcMar>
          </w:tcPr>
          <w:p>
            <w:pPr>
              <w:spacing w:after="0"/>
            </w:pPr>
            <w:r>
              <w:rPr>
                <w:rFonts w:ascii="Aptos" w:hAnsi="Aptos"/>
                <w:sz w:val="17"/>
              </w:rPr>
              <w:t>Optimisé, apprenant, augmenté par l’IA.</w:t>
            </w:r>
          </w:p>
        </w:tc>
        <w:tc>
          <w:tcPr>
            <w:tcW w:type="dxa" w:w="4320"/>
            <w:vAlign w:val="center"/>
            <w:tcMar>
              <w:top w:w="100" w:type="dxa"/>
              <w:start w:w="100" w:type="dxa"/>
              <w:bottom w:w="100" w:type="dxa"/>
              <w:end w:w="100" w:type="dxa"/>
            </w:tcMar>
          </w:tcPr>
          <w:p>
            <w:pPr>
              <w:spacing w:after="0"/>
            </w:pPr>
            <w:r>
              <w:rPr>
                <w:rFonts w:ascii="Aptos" w:hAnsi="Aptos"/>
                <w:sz w:val="17"/>
              </w:rPr>
              <w:t>Le système apprend-il et réalloue-t-il les ressources selon la valeur créée ?</w:t>
            </w:r>
          </w:p>
        </w:tc>
      </w:tr>
    </w:tbl>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3024"/>
            <w:shd w:fill="17365D"/>
            <w:vAlign w:val="center"/>
            <w:tcMar>
              <w:top w:w="120" w:type="dxa"/>
              <w:start w:w="110" w:type="dxa"/>
              <w:bottom w:w="120" w:type="dxa"/>
              <w:end w:w="110" w:type="dxa"/>
            </w:tcMar>
          </w:tcPr>
          <w:p>
            <w:pPr>
              <w:jc w:val="center"/>
            </w:pPr>
            <w:r>
              <w:rPr>
                <w:b/>
                <w:color w:val="FFFFFF"/>
                <w:sz w:val="17"/>
              </w:rPr>
              <w:t>Dimension ICAP®</w:t>
            </w:r>
          </w:p>
        </w:tc>
        <w:tc>
          <w:tcPr>
            <w:tcW w:type="dxa" w:w="7776"/>
            <w:shd w:fill="17365D"/>
            <w:vAlign w:val="center"/>
            <w:tcMar>
              <w:top w:w="120" w:type="dxa"/>
              <w:start w:w="110" w:type="dxa"/>
              <w:bottom w:w="120" w:type="dxa"/>
              <w:end w:w="110" w:type="dxa"/>
            </w:tcMar>
          </w:tcPr>
          <w:p>
            <w:pPr>
              <w:jc w:val="center"/>
            </w:pPr>
            <w:r>
              <w:rPr>
                <w:b/>
                <w:color w:val="FFFFFF"/>
                <w:sz w:val="17"/>
              </w:rPr>
              <w:t>Trajectoire de maturité L1 → L5</w:t>
            </w:r>
          </w:p>
        </w:tc>
      </w:tr>
      <w:tr>
        <w:tc>
          <w:tcPr>
            <w:tcW w:type="dxa" w:w="3024"/>
            <w:vAlign w:val="center"/>
            <w:tcMar>
              <w:top w:w="100" w:type="dxa"/>
              <w:start w:w="100" w:type="dxa"/>
              <w:bottom w:w="100" w:type="dxa"/>
              <w:end w:w="100" w:type="dxa"/>
            </w:tcMar>
          </w:tcPr>
          <w:p>
            <w:pPr>
              <w:spacing w:after="0"/>
            </w:pPr>
            <w:r>
              <w:rPr>
                <w:rFonts w:ascii="Aptos" w:hAnsi="Aptos"/>
                <w:sz w:val="17"/>
              </w:rPr>
              <w:t>Vision stratégique</w:t>
            </w:r>
          </w:p>
        </w:tc>
        <w:tc>
          <w:tcPr>
            <w:tcW w:type="dxa" w:w="7776"/>
            <w:vAlign w:val="center"/>
            <w:tcMar>
              <w:top w:w="100" w:type="dxa"/>
              <w:start w:w="100" w:type="dxa"/>
              <w:bottom w:w="100" w:type="dxa"/>
              <w:end w:w="100" w:type="dxa"/>
            </w:tcMar>
          </w:tcPr>
          <w:p>
            <w:pPr>
              <w:spacing w:after="0"/>
            </w:pPr>
            <w:r>
              <w:rPr>
                <w:rFonts w:ascii="Aptos" w:hAnsi="Aptos"/>
                <w:sz w:val="17"/>
              </w:rPr>
              <w:t>De la vision déclarative à une vision prospective ajustée par les données.</w:t>
            </w:r>
          </w:p>
        </w:tc>
      </w:tr>
      <w:tr>
        <w:tc>
          <w:tcPr>
            <w:tcW w:type="dxa" w:w="3024"/>
            <w:vAlign w:val="center"/>
            <w:tcMar>
              <w:top w:w="100" w:type="dxa"/>
              <w:start w:w="100" w:type="dxa"/>
              <w:bottom w:w="100" w:type="dxa"/>
              <w:end w:w="100" w:type="dxa"/>
            </w:tcMar>
          </w:tcPr>
          <w:p>
            <w:pPr>
              <w:spacing w:after="0"/>
            </w:pPr>
            <w:r>
              <w:rPr>
                <w:rFonts w:ascii="Aptos" w:hAnsi="Aptos"/>
                <w:sz w:val="17"/>
              </w:rPr>
              <w:t>Alignement budgétaire</w:t>
            </w:r>
          </w:p>
        </w:tc>
        <w:tc>
          <w:tcPr>
            <w:tcW w:type="dxa" w:w="7776"/>
            <w:vAlign w:val="center"/>
            <w:tcMar>
              <w:top w:w="100" w:type="dxa"/>
              <w:start w:w="100" w:type="dxa"/>
              <w:bottom w:w="100" w:type="dxa"/>
              <w:end w:w="100" w:type="dxa"/>
            </w:tcMar>
          </w:tcPr>
          <w:p>
            <w:pPr>
              <w:spacing w:after="0"/>
            </w:pPr>
            <w:r>
              <w:rPr>
                <w:rFonts w:ascii="Aptos" w:hAnsi="Aptos"/>
                <w:sz w:val="17"/>
              </w:rPr>
              <w:t>Du budget d’affichage à l’allocation dynamique selon la valeur et l’efficience.</w:t>
            </w:r>
          </w:p>
        </w:tc>
      </w:tr>
      <w:tr>
        <w:tc>
          <w:tcPr>
            <w:tcW w:type="dxa" w:w="3024"/>
            <w:vAlign w:val="center"/>
            <w:tcMar>
              <w:top w:w="100" w:type="dxa"/>
              <w:start w:w="100" w:type="dxa"/>
              <w:bottom w:w="100" w:type="dxa"/>
              <w:end w:w="100" w:type="dxa"/>
            </w:tcMar>
          </w:tcPr>
          <w:p>
            <w:pPr>
              <w:spacing w:after="0"/>
            </w:pPr>
            <w:r>
              <w:rPr>
                <w:rFonts w:ascii="Aptos" w:hAnsi="Aptos"/>
                <w:sz w:val="17"/>
              </w:rPr>
              <w:t>Leadership &amp; mobilisation</w:t>
            </w:r>
          </w:p>
        </w:tc>
        <w:tc>
          <w:tcPr>
            <w:tcW w:type="dxa" w:w="7776"/>
            <w:vAlign w:val="center"/>
            <w:tcMar>
              <w:top w:w="100" w:type="dxa"/>
              <w:start w:w="100" w:type="dxa"/>
              <w:bottom w:w="100" w:type="dxa"/>
              <w:end w:w="100" w:type="dxa"/>
            </w:tcMar>
          </w:tcPr>
          <w:p>
            <w:pPr>
              <w:spacing w:after="0"/>
            </w:pPr>
            <w:r>
              <w:rPr>
                <w:rFonts w:ascii="Aptos" w:hAnsi="Aptos"/>
                <w:sz w:val="17"/>
              </w:rPr>
              <w:t>Du management réactif à l’autonomie responsable et à la culture d’innovation.</w:t>
            </w:r>
          </w:p>
        </w:tc>
      </w:tr>
      <w:tr>
        <w:tc>
          <w:tcPr>
            <w:tcW w:type="dxa" w:w="3024"/>
            <w:vAlign w:val="center"/>
            <w:tcMar>
              <w:top w:w="100" w:type="dxa"/>
              <w:start w:w="100" w:type="dxa"/>
              <w:bottom w:w="100" w:type="dxa"/>
              <w:end w:w="100" w:type="dxa"/>
            </w:tcMar>
          </w:tcPr>
          <w:p>
            <w:pPr>
              <w:spacing w:after="0"/>
            </w:pPr>
            <w:r>
              <w:rPr>
                <w:rFonts w:ascii="Aptos" w:hAnsi="Aptos"/>
                <w:sz w:val="17"/>
              </w:rPr>
              <w:t>Responsabilisation &amp; contrats</w:t>
            </w:r>
          </w:p>
        </w:tc>
        <w:tc>
          <w:tcPr>
            <w:tcW w:type="dxa" w:w="7776"/>
            <w:vAlign w:val="center"/>
            <w:tcMar>
              <w:top w:w="100" w:type="dxa"/>
              <w:start w:w="100" w:type="dxa"/>
              <w:bottom w:w="100" w:type="dxa"/>
              <w:end w:w="100" w:type="dxa"/>
            </w:tcMar>
          </w:tcPr>
          <w:p>
            <w:pPr>
              <w:spacing w:after="0"/>
            </w:pPr>
            <w:r>
              <w:rPr>
                <w:rFonts w:ascii="Aptos" w:hAnsi="Aptos"/>
                <w:sz w:val="17"/>
              </w:rPr>
              <w:t>De la dilution des rôles à des engagements ajustés par le dialogue de gestion.</w:t>
            </w:r>
          </w:p>
        </w:tc>
      </w:tr>
      <w:tr>
        <w:tc>
          <w:tcPr>
            <w:tcW w:type="dxa" w:w="3024"/>
            <w:vAlign w:val="center"/>
            <w:tcMar>
              <w:top w:w="100" w:type="dxa"/>
              <w:start w:w="100" w:type="dxa"/>
              <w:bottom w:w="100" w:type="dxa"/>
              <w:end w:w="100" w:type="dxa"/>
            </w:tcMar>
          </w:tcPr>
          <w:p>
            <w:pPr>
              <w:spacing w:after="0"/>
            </w:pPr>
            <w:r>
              <w:rPr>
                <w:rFonts w:ascii="Aptos" w:hAnsi="Aptos"/>
                <w:sz w:val="17"/>
              </w:rPr>
              <w:t>Conduite du changement</w:t>
            </w:r>
          </w:p>
        </w:tc>
        <w:tc>
          <w:tcPr>
            <w:tcW w:type="dxa" w:w="7776"/>
            <w:vAlign w:val="center"/>
            <w:tcMar>
              <w:top w:w="100" w:type="dxa"/>
              <w:start w:w="100" w:type="dxa"/>
              <w:bottom w:w="100" w:type="dxa"/>
              <w:end w:w="100" w:type="dxa"/>
            </w:tcMar>
          </w:tcPr>
          <w:p>
            <w:pPr>
              <w:spacing w:after="0"/>
            </w:pPr>
            <w:r>
              <w:rPr>
                <w:rFonts w:ascii="Aptos" w:hAnsi="Aptos"/>
                <w:sz w:val="17"/>
              </w:rPr>
              <w:t>De la résistance à une capacité d’adaptation démontrée.</w:t>
            </w:r>
          </w:p>
        </w:tc>
      </w:tr>
      <w:tr>
        <w:tc>
          <w:tcPr>
            <w:tcW w:type="dxa" w:w="3024"/>
            <w:vAlign w:val="center"/>
            <w:tcMar>
              <w:top w:w="100" w:type="dxa"/>
              <w:start w:w="100" w:type="dxa"/>
              <w:bottom w:w="100" w:type="dxa"/>
              <w:end w:w="100" w:type="dxa"/>
            </w:tcMar>
          </w:tcPr>
          <w:p>
            <w:pPr>
              <w:spacing w:after="0"/>
            </w:pPr>
            <w:r>
              <w:rPr>
                <w:rFonts w:ascii="Aptos" w:hAnsi="Aptos"/>
                <w:sz w:val="17"/>
              </w:rPr>
              <w:t>Maîtrise des processus</w:t>
            </w:r>
          </w:p>
        </w:tc>
        <w:tc>
          <w:tcPr>
            <w:tcW w:type="dxa" w:w="7776"/>
            <w:vAlign w:val="center"/>
            <w:tcMar>
              <w:top w:w="100" w:type="dxa"/>
              <w:start w:w="100" w:type="dxa"/>
              <w:bottom w:w="100" w:type="dxa"/>
              <w:end w:w="100" w:type="dxa"/>
            </w:tcMar>
          </w:tcPr>
          <w:p>
            <w:pPr>
              <w:spacing w:after="0"/>
            </w:pPr>
            <w:r>
              <w:rPr>
                <w:rFonts w:ascii="Aptos" w:hAnsi="Aptos"/>
                <w:sz w:val="17"/>
              </w:rPr>
              <w:t>De processus informels à des flux mesurés, digitalisés et continuellement optimisés.</w:t>
            </w:r>
          </w:p>
        </w:tc>
      </w:tr>
      <w:tr>
        <w:tc>
          <w:tcPr>
            <w:tcW w:type="dxa" w:w="3024"/>
            <w:vAlign w:val="center"/>
            <w:tcMar>
              <w:top w:w="100" w:type="dxa"/>
              <w:start w:w="100" w:type="dxa"/>
              <w:bottom w:w="100" w:type="dxa"/>
              <w:end w:w="100" w:type="dxa"/>
            </w:tcMar>
          </w:tcPr>
          <w:p>
            <w:pPr>
              <w:spacing w:after="0"/>
            </w:pPr>
            <w:r>
              <w:rPr>
                <w:rFonts w:ascii="Aptos" w:hAnsi="Aptos"/>
                <w:sz w:val="17"/>
              </w:rPr>
              <w:t>Compétences &amp; RH</w:t>
            </w:r>
          </w:p>
        </w:tc>
        <w:tc>
          <w:tcPr>
            <w:tcW w:type="dxa" w:w="7776"/>
            <w:vAlign w:val="center"/>
            <w:tcMar>
              <w:top w:w="100" w:type="dxa"/>
              <w:start w:w="100" w:type="dxa"/>
              <w:bottom w:w="100" w:type="dxa"/>
              <w:end w:w="100" w:type="dxa"/>
            </w:tcMar>
          </w:tcPr>
          <w:p>
            <w:pPr>
              <w:spacing w:after="0"/>
            </w:pPr>
            <w:r>
              <w:rPr>
                <w:rFonts w:ascii="Aptos" w:hAnsi="Aptos"/>
                <w:sz w:val="17"/>
              </w:rPr>
              <w:t>De la gestion administrative à la gestion prédictive des compétences et talents.</w:t>
            </w:r>
          </w:p>
        </w:tc>
      </w:tr>
      <w:tr>
        <w:tc>
          <w:tcPr>
            <w:tcW w:type="dxa" w:w="3024"/>
            <w:vAlign w:val="center"/>
            <w:tcMar>
              <w:top w:w="100" w:type="dxa"/>
              <w:start w:w="100" w:type="dxa"/>
              <w:bottom w:w="100" w:type="dxa"/>
              <w:end w:w="100" w:type="dxa"/>
            </w:tcMar>
          </w:tcPr>
          <w:p>
            <w:pPr>
              <w:spacing w:after="0"/>
            </w:pPr>
            <w:r>
              <w:rPr>
                <w:rFonts w:ascii="Aptos" w:hAnsi="Aptos"/>
                <w:sz w:val="17"/>
              </w:rPr>
              <w:t>Systèmes d’information</w:t>
            </w:r>
          </w:p>
        </w:tc>
        <w:tc>
          <w:tcPr>
            <w:tcW w:type="dxa" w:w="7776"/>
            <w:vAlign w:val="center"/>
            <w:tcMar>
              <w:top w:w="100" w:type="dxa"/>
              <w:start w:w="100" w:type="dxa"/>
              <w:bottom w:w="100" w:type="dxa"/>
              <w:end w:w="100" w:type="dxa"/>
            </w:tcMar>
          </w:tcPr>
          <w:p>
            <w:pPr>
              <w:spacing w:after="0"/>
            </w:pPr>
            <w:r>
              <w:rPr>
                <w:rFonts w:ascii="Aptos" w:hAnsi="Aptos"/>
                <w:sz w:val="17"/>
              </w:rPr>
              <w:t>De silos obsolètes à des systèmes interopérables, sécurisés et temps réel.</w:t>
            </w:r>
          </w:p>
        </w:tc>
      </w:tr>
      <w:tr>
        <w:tc>
          <w:tcPr>
            <w:tcW w:type="dxa" w:w="3024"/>
            <w:vAlign w:val="center"/>
            <w:tcMar>
              <w:top w:w="100" w:type="dxa"/>
              <w:start w:w="100" w:type="dxa"/>
              <w:bottom w:w="100" w:type="dxa"/>
              <w:end w:w="100" w:type="dxa"/>
            </w:tcMar>
          </w:tcPr>
          <w:p>
            <w:pPr>
              <w:spacing w:after="0"/>
            </w:pPr>
            <w:r>
              <w:rPr>
                <w:rFonts w:ascii="Aptos" w:hAnsi="Aptos"/>
                <w:sz w:val="17"/>
              </w:rPr>
              <w:t>Qualité de la donnée</w:t>
            </w:r>
          </w:p>
        </w:tc>
        <w:tc>
          <w:tcPr>
            <w:tcW w:type="dxa" w:w="7776"/>
            <w:vAlign w:val="center"/>
            <w:tcMar>
              <w:top w:w="100" w:type="dxa"/>
              <w:start w:w="100" w:type="dxa"/>
              <w:bottom w:w="100" w:type="dxa"/>
              <w:end w:w="100" w:type="dxa"/>
            </w:tcMar>
          </w:tcPr>
          <w:p>
            <w:pPr>
              <w:spacing w:after="0"/>
            </w:pPr>
            <w:r>
              <w:rPr>
                <w:rFonts w:ascii="Aptos" w:hAnsi="Aptos"/>
                <w:sz w:val="17"/>
              </w:rPr>
              <w:t>De données contradictoires à des données fiables, auditables et traçables.</w:t>
            </w:r>
          </w:p>
        </w:tc>
      </w:tr>
      <w:tr>
        <w:tc>
          <w:tcPr>
            <w:tcW w:type="dxa" w:w="3024"/>
            <w:vAlign w:val="center"/>
            <w:tcMar>
              <w:top w:w="100" w:type="dxa"/>
              <w:start w:w="100" w:type="dxa"/>
              <w:bottom w:w="100" w:type="dxa"/>
              <w:end w:w="100" w:type="dxa"/>
            </w:tcMar>
          </w:tcPr>
          <w:p>
            <w:pPr>
              <w:spacing w:after="0"/>
            </w:pPr>
            <w:r>
              <w:rPr>
                <w:rFonts w:ascii="Aptos" w:hAnsi="Aptos"/>
                <w:sz w:val="17"/>
              </w:rPr>
              <w:t>Infrastructure &amp; équipements</w:t>
            </w:r>
          </w:p>
        </w:tc>
        <w:tc>
          <w:tcPr>
            <w:tcW w:type="dxa" w:w="7776"/>
            <w:vAlign w:val="center"/>
            <w:tcMar>
              <w:top w:w="100" w:type="dxa"/>
              <w:start w:w="100" w:type="dxa"/>
              <w:bottom w:w="100" w:type="dxa"/>
              <w:end w:w="100" w:type="dxa"/>
            </w:tcMar>
          </w:tcPr>
          <w:p>
            <w:pPr>
              <w:spacing w:after="0"/>
            </w:pPr>
            <w:r>
              <w:rPr>
                <w:rFonts w:ascii="Aptos" w:hAnsi="Aptos"/>
                <w:sz w:val="17"/>
              </w:rPr>
              <w:t>De pannes récurrentes à une haute disponibilité résiliente.</w:t>
            </w:r>
          </w:p>
        </w:tc>
      </w:tr>
      <w:tr>
        <w:tc>
          <w:tcPr>
            <w:tcW w:type="dxa" w:w="3024"/>
            <w:vAlign w:val="center"/>
            <w:tcMar>
              <w:top w:w="100" w:type="dxa"/>
              <w:start w:w="100" w:type="dxa"/>
              <w:bottom w:w="100" w:type="dxa"/>
              <w:end w:w="100" w:type="dxa"/>
            </w:tcMar>
          </w:tcPr>
          <w:p>
            <w:pPr>
              <w:spacing w:after="0"/>
            </w:pPr>
            <w:r>
              <w:rPr>
                <w:rFonts w:ascii="Aptos" w:hAnsi="Aptos"/>
                <w:sz w:val="17"/>
              </w:rPr>
              <w:t>Pilotage des risques</w:t>
            </w:r>
          </w:p>
        </w:tc>
        <w:tc>
          <w:tcPr>
            <w:tcW w:type="dxa" w:w="7776"/>
            <w:vAlign w:val="center"/>
            <w:tcMar>
              <w:top w:w="100" w:type="dxa"/>
              <w:start w:w="100" w:type="dxa"/>
              <w:bottom w:w="100" w:type="dxa"/>
              <w:end w:w="100" w:type="dxa"/>
            </w:tcMar>
          </w:tcPr>
          <w:p>
            <w:pPr>
              <w:spacing w:after="0"/>
            </w:pPr>
            <w:r>
              <w:rPr>
                <w:rFonts w:ascii="Aptos" w:hAnsi="Aptos"/>
                <w:sz w:val="17"/>
              </w:rPr>
              <w:t>De la réaction dans l’urgence à la surveillance prédictive et aux alertes.</w:t>
            </w:r>
          </w:p>
        </w:tc>
      </w:tr>
      <w:tr>
        <w:tc>
          <w:tcPr>
            <w:tcW w:type="dxa" w:w="3024"/>
            <w:vAlign w:val="center"/>
            <w:tcMar>
              <w:top w:w="100" w:type="dxa"/>
              <w:start w:w="100" w:type="dxa"/>
              <w:bottom w:w="100" w:type="dxa"/>
              <w:end w:w="100" w:type="dxa"/>
            </w:tcMar>
          </w:tcPr>
          <w:p>
            <w:pPr>
              <w:spacing w:after="0"/>
            </w:pPr>
            <w:r>
              <w:rPr>
                <w:rFonts w:ascii="Aptos" w:hAnsi="Aptos"/>
                <w:sz w:val="17"/>
              </w:rPr>
              <w:t>Assurance &amp; contrôle</w:t>
            </w:r>
          </w:p>
        </w:tc>
        <w:tc>
          <w:tcPr>
            <w:tcW w:type="dxa" w:w="7776"/>
            <w:vAlign w:val="center"/>
            <w:tcMar>
              <w:top w:w="100" w:type="dxa"/>
              <w:start w:w="100" w:type="dxa"/>
              <w:bottom w:w="100" w:type="dxa"/>
              <w:end w:w="100" w:type="dxa"/>
            </w:tcMar>
          </w:tcPr>
          <w:p>
            <w:pPr>
              <w:spacing w:after="0"/>
            </w:pPr>
            <w:r>
              <w:rPr>
                <w:rFonts w:ascii="Aptos" w:hAnsi="Aptos"/>
                <w:sz w:val="17"/>
              </w:rPr>
              <w:t>Du contrôle formel à une assurance combinée intégrée aux opérations.</w:t>
            </w:r>
          </w:p>
        </w:tc>
      </w:tr>
      <w:tr>
        <w:tc>
          <w:tcPr>
            <w:tcW w:type="dxa" w:w="3024"/>
            <w:vAlign w:val="center"/>
            <w:tcMar>
              <w:top w:w="100" w:type="dxa"/>
              <w:start w:w="100" w:type="dxa"/>
              <w:bottom w:w="100" w:type="dxa"/>
              <w:end w:w="100" w:type="dxa"/>
            </w:tcMar>
          </w:tcPr>
          <w:p>
            <w:pPr>
              <w:spacing w:after="0"/>
            </w:pPr>
            <w:r>
              <w:rPr>
                <w:rFonts w:ascii="Aptos" w:hAnsi="Aptos"/>
                <w:sz w:val="17"/>
              </w:rPr>
              <w:t>Suivi-évaluation</w:t>
            </w:r>
          </w:p>
        </w:tc>
        <w:tc>
          <w:tcPr>
            <w:tcW w:type="dxa" w:w="7776"/>
            <w:vAlign w:val="center"/>
            <w:tcMar>
              <w:top w:w="100" w:type="dxa"/>
              <w:start w:w="100" w:type="dxa"/>
              <w:bottom w:w="100" w:type="dxa"/>
              <w:end w:w="100" w:type="dxa"/>
            </w:tcMar>
          </w:tcPr>
          <w:p>
            <w:pPr>
              <w:spacing w:after="0"/>
            </w:pPr>
            <w:r>
              <w:rPr>
                <w:rFonts w:ascii="Aptos" w:hAnsi="Aptos"/>
                <w:sz w:val="17"/>
              </w:rPr>
              <w:t>Du reporting d’activité à l’évaluation orientée preuve et apprentissage.</w:t>
            </w:r>
          </w:p>
        </w:tc>
      </w:tr>
      <w:tr>
        <w:tc>
          <w:tcPr>
            <w:tcW w:type="dxa" w:w="3024"/>
            <w:vAlign w:val="center"/>
            <w:tcMar>
              <w:top w:w="100" w:type="dxa"/>
              <w:start w:w="100" w:type="dxa"/>
              <w:bottom w:w="100" w:type="dxa"/>
              <w:end w:w="100" w:type="dxa"/>
            </w:tcMar>
          </w:tcPr>
          <w:p>
            <w:pPr>
              <w:spacing w:after="0"/>
            </w:pPr>
            <w:r>
              <w:rPr>
                <w:rFonts w:ascii="Aptos" w:hAnsi="Aptos"/>
                <w:sz w:val="17"/>
              </w:rPr>
              <w:t>Partenariats &amp; écosystème</w:t>
            </w:r>
          </w:p>
        </w:tc>
        <w:tc>
          <w:tcPr>
            <w:tcW w:type="dxa" w:w="7776"/>
            <w:vAlign w:val="center"/>
            <w:tcMar>
              <w:top w:w="100" w:type="dxa"/>
              <w:start w:w="100" w:type="dxa"/>
              <w:bottom w:w="100" w:type="dxa"/>
              <w:end w:w="100" w:type="dxa"/>
            </w:tcMar>
          </w:tcPr>
          <w:p>
            <w:pPr>
              <w:spacing w:after="0"/>
            </w:pPr>
            <w:r>
              <w:rPr>
                <w:rFonts w:ascii="Aptos" w:hAnsi="Aptos"/>
                <w:sz w:val="17"/>
              </w:rPr>
              <w:t>De l’isolement à la co-construction de valeur avec les parties prenantes.</w:t>
            </w:r>
          </w:p>
        </w:tc>
      </w:tr>
      <w:tr>
        <w:tc>
          <w:tcPr>
            <w:tcW w:type="dxa" w:w="3024"/>
            <w:vAlign w:val="center"/>
            <w:tcMar>
              <w:top w:w="100" w:type="dxa"/>
              <w:start w:w="100" w:type="dxa"/>
              <w:bottom w:w="100" w:type="dxa"/>
              <w:end w:w="100" w:type="dxa"/>
            </w:tcMar>
          </w:tcPr>
          <w:p>
            <w:pPr>
              <w:spacing w:after="0"/>
            </w:pPr>
            <w:r>
              <w:rPr>
                <w:rFonts w:ascii="Aptos" w:hAnsi="Aptos"/>
                <w:sz w:val="17"/>
              </w:rPr>
              <w:t>Résilience &amp; apprentissage</w:t>
            </w:r>
          </w:p>
        </w:tc>
        <w:tc>
          <w:tcPr>
            <w:tcW w:type="dxa" w:w="7776"/>
            <w:vAlign w:val="center"/>
            <w:tcMar>
              <w:top w:w="100" w:type="dxa"/>
              <w:start w:w="100" w:type="dxa"/>
              <w:bottom w:w="100" w:type="dxa"/>
              <w:end w:w="100" w:type="dxa"/>
            </w:tcMar>
          </w:tcPr>
          <w:p>
            <w:pPr>
              <w:spacing w:after="0"/>
            </w:pPr>
            <w:r>
              <w:rPr>
                <w:rFonts w:ascii="Aptos" w:hAnsi="Aptos"/>
                <w:sz w:val="17"/>
              </w:rPr>
              <w:t>De la répétition des erreurs à une mémoire institutionnelle active et consultable.</w:t>
            </w:r>
          </w:p>
        </w:tc>
      </w:tr>
    </w:tbl>
    <w:p/>
    <w:p>
      <w:pPr>
        <w:pStyle w:val="Heading2"/>
        <w:keepNext/>
      </w:pPr>
      <w:r>
        <w:t>5.1 Maturité culturelle de la performance</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2088"/>
            <w:shd w:fill="17365D"/>
            <w:vAlign w:val="center"/>
            <w:tcMar>
              <w:top w:w="120" w:type="dxa"/>
              <w:start w:w="110" w:type="dxa"/>
              <w:bottom w:w="120" w:type="dxa"/>
              <w:end w:w="110" w:type="dxa"/>
            </w:tcMar>
          </w:tcPr>
          <w:p>
            <w:pPr>
              <w:jc w:val="center"/>
            </w:pPr>
            <w:r>
              <w:rPr>
                <w:b/>
                <w:color w:val="FFFFFF"/>
                <w:sz w:val="18"/>
              </w:rPr>
              <w:t>Stade</w:t>
            </w:r>
          </w:p>
        </w:tc>
        <w:tc>
          <w:tcPr>
            <w:tcW w:type="dxa" w:w="8640"/>
            <w:shd w:fill="17365D"/>
            <w:vAlign w:val="center"/>
            <w:tcMar>
              <w:top w:w="120" w:type="dxa"/>
              <w:start w:w="110" w:type="dxa"/>
              <w:bottom w:w="120" w:type="dxa"/>
              <w:end w:w="110" w:type="dxa"/>
            </w:tcMar>
          </w:tcPr>
          <w:p>
            <w:pPr>
              <w:jc w:val="center"/>
            </w:pPr>
            <w:r>
              <w:rPr>
                <w:b/>
                <w:color w:val="FFFFFF"/>
                <w:sz w:val="18"/>
              </w:rPr>
              <w:t>Manifestation dominante</w:t>
            </w:r>
          </w:p>
        </w:tc>
      </w:tr>
      <w:tr>
        <w:tc>
          <w:tcPr>
            <w:tcW w:type="dxa" w:w="2088"/>
            <w:vAlign w:val="center"/>
            <w:tcMar>
              <w:top w:w="100" w:type="dxa"/>
              <w:start w:w="100" w:type="dxa"/>
              <w:bottom w:w="100" w:type="dxa"/>
              <w:end w:w="100" w:type="dxa"/>
            </w:tcMar>
          </w:tcPr>
          <w:p>
            <w:pPr>
              <w:spacing w:after="0"/>
            </w:pPr>
            <w:r>
              <w:rPr>
                <w:rFonts w:ascii="Aptos" w:hAnsi="Aptos"/>
                <w:sz w:val="18"/>
              </w:rPr>
              <w:t>1. Imposée</w:t>
            </w:r>
          </w:p>
        </w:tc>
        <w:tc>
          <w:tcPr>
            <w:tcW w:type="dxa" w:w="8640"/>
            <w:vAlign w:val="center"/>
            <w:tcMar>
              <w:top w:w="100" w:type="dxa"/>
              <w:start w:w="100" w:type="dxa"/>
              <w:bottom w:w="100" w:type="dxa"/>
              <w:end w:w="100" w:type="dxa"/>
            </w:tcMar>
          </w:tcPr>
          <w:p>
            <w:pPr>
              <w:spacing w:after="0"/>
            </w:pPr>
            <w:r>
              <w:rPr>
                <w:rFonts w:ascii="Aptos" w:hAnsi="Aptos"/>
                <w:sz w:val="18"/>
              </w:rPr>
              <w:t>Les indicateurs sont perçus comme une contrainte externe.</w:t>
            </w:r>
          </w:p>
        </w:tc>
      </w:tr>
      <w:tr>
        <w:tc>
          <w:tcPr>
            <w:tcW w:type="dxa" w:w="2088"/>
            <w:vAlign w:val="center"/>
            <w:tcMar>
              <w:top w:w="100" w:type="dxa"/>
              <w:start w:w="100" w:type="dxa"/>
              <w:bottom w:w="100" w:type="dxa"/>
              <w:end w:w="100" w:type="dxa"/>
            </w:tcMar>
          </w:tcPr>
          <w:p>
            <w:pPr>
              <w:spacing w:after="0"/>
            </w:pPr>
            <w:r>
              <w:rPr>
                <w:rFonts w:ascii="Aptos" w:hAnsi="Aptos"/>
                <w:sz w:val="18"/>
              </w:rPr>
              <w:t>2. Administrée</w:t>
            </w:r>
          </w:p>
        </w:tc>
        <w:tc>
          <w:tcPr>
            <w:tcW w:type="dxa" w:w="8640"/>
            <w:vAlign w:val="center"/>
            <w:tcMar>
              <w:top w:w="100" w:type="dxa"/>
              <w:start w:w="100" w:type="dxa"/>
              <w:bottom w:w="100" w:type="dxa"/>
              <w:end w:w="100" w:type="dxa"/>
            </w:tcMar>
          </w:tcPr>
          <w:p>
            <w:pPr>
              <w:spacing w:after="0"/>
            </w:pPr>
            <w:r>
              <w:rPr>
                <w:rFonts w:ascii="Aptos" w:hAnsi="Aptos"/>
                <w:sz w:val="18"/>
              </w:rPr>
              <w:t>Les outils existent surtout pour la conformité.</w:t>
            </w:r>
          </w:p>
        </w:tc>
      </w:tr>
      <w:tr>
        <w:tc>
          <w:tcPr>
            <w:tcW w:type="dxa" w:w="2088"/>
            <w:vAlign w:val="center"/>
            <w:tcMar>
              <w:top w:w="100" w:type="dxa"/>
              <w:start w:w="100" w:type="dxa"/>
              <w:bottom w:w="100" w:type="dxa"/>
              <w:end w:w="100" w:type="dxa"/>
            </w:tcMar>
          </w:tcPr>
          <w:p>
            <w:pPr>
              <w:spacing w:after="0"/>
            </w:pPr>
            <w:r>
              <w:rPr>
                <w:rFonts w:ascii="Aptos" w:hAnsi="Aptos"/>
                <w:sz w:val="18"/>
              </w:rPr>
              <w:t>3. Appropriée</w:t>
            </w:r>
          </w:p>
        </w:tc>
        <w:tc>
          <w:tcPr>
            <w:tcW w:type="dxa" w:w="8640"/>
            <w:vAlign w:val="center"/>
            <w:tcMar>
              <w:top w:w="100" w:type="dxa"/>
              <w:start w:w="100" w:type="dxa"/>
              <w:bottom w:w="100" w:type="dxa"/>
              <w:end w:w="100" w:type="dxa"/>
            </w:tcMar>
          </w:tcPr>
          <w:p>
            <w:pPr>
              <w:spacing w:after="0"/>
            </w:pPr>
            <w:r>
              <w:rPr>
                <w:rFonts w:ascii="Aptos" w:hAnsi="Aptos"/>
                <w:sz w:val="18"/>
              </w:rPr>
              <w:t>Les managers utilisent les indicateurs pour piloter et discuter des écarts.</w:t>
            </w:r>
          </w:p>
        </w:tc>
      </w:tr>
      <w:tr>
        <w:tc>
          <w:tcPr>
            <w:tcW w:type="dxa" w:w="2088"/>
            <w:vAlign w:val="center"/>
            <w:tcMar>
              <w:top w:w="100" w:type="dxa"/>
              <w:start w:w="100" w:type="dxa"/>
              <w:bottom w:w="100" w:type="dxa"/>
              <w:end w:w="100" w:type="dxa"/>
            </w:tcMar>
          </w:tcPr>
          <w:p>
            <w:pPr>
              <w:spacing w:after="0"/>
            </w:pPr>
            <w:r>
              <w:rPr>
                <w:rFonts w:ascii="Aptos" w:hAnsi="Aptos"/>
                <w:sz w:val="18"/>
              </w:rPr>
              <w:t>4. Internalisée</w:t>
            </w:r>
          </w:p>
        </w:tc>
        <w:tc>
          <w:tcPr>
            <w:tcW w:type="dxa" w:w="8640"/>
            <w:vAlign w:val="center"/>
            <w:tcMar>
              <w:top w:w="100" w:type="dxa"/>
              <w:start w:w="100" w:type="dxa"/>
              <w:bottom w:w="100" w:type="dxa"/>
              <w:end w:w="100" w:type="dxa"/>
            </w:tcMar>
          </w:tcPr>
          <w:p>
            <w:pPr>
              <w:spacing w:after="0"/>
            </w:pPr>
            <w:r>
              <w:rPr>
                <w:rFonts w:ascii="Aptos" w:hAnsi="Aptos"/>
                <w:sz w:val="18"/>
              </w:rPr>
              <w:t>Résultats et risques guident spontanément les arbitrages.</w:t>
            </w:r>
          </w:p>
        </w:tc>
      </w:tr>
      <w:tr>
        <w:tc>
          <w:tcPr>
            <w:tcW w:type="dxa" w:w="2088"/>
            <w:vAlign w:val="center"/>
            <w:tcMar>
              <w:top w:w="100" w:type="dxa"/>
              <w:start w:w="100" w:type="dxa"/>
              <w:bottom w:w="100" w:type="dxa"/>
              <w:end w:w="100" w:type="dxa"/>
            </w:tcMar>
          </w:tcPr>
          <w:p>
            <w:pPr>
              <w:spacing w:after="0"/>
            </w:pPr>
            <w:r>
              <w:rPr>
                <w:rFonts w:ascii="Aptos" w:hAnsi="Aptos"/>
                <w:sz w:val="18"/>
              </w:rPr>
              <w:t>5. Apprenante</w:t>
            </w:r>
          </w:p>
        </w:tc>
        <w:tc>
          <w:tcPr>
            <w:tcW w:type="dxa" w:w="8640"/>
            <w:vAlign w:val="center"/>
            <w:tcMar>
              <w:top w:w="100" w:type="dxa"/>
              <w:start w:w="100" w:type="dxa"/>
              <w:bottom w:w="100" w:type="dxa"/>
              <w:end w:w="100" w:type="dxa"/>
            </w:tcMar>
          </w:tcPr>
          <w:p>
            <w:pPr>
              <w:spacing w:after="0"/>
            </w:pPr>
            <w:r>
              <w:rPr>
                <w:rFonts w:ascii="Aptos" w:hAnsi="Aptos"/>
                <w:sz w:val="18"/>
              </w:rPr>
              <w:t>L’organisation traite les échecs comme des informations et ajuste ses théories d’action.</w:t>
            </w:r>
          </w:p>
        </w:tc>
      </w:tr>
    </w:tbl>
    <w:p/>
    <w:p>
      <w:pPr>
        <w:pStyle w:val="Heading1"/>
        <w:keepNext/>
      </w:pPr>
      <w:r>
        <w:t>6. La revue trimestrielle : du reporting à l’arbitrage</w:t>
      </w:r>
    </w:p>
    <w:p>
      <w:r>
        <w:t>La revue trimestrielle est le point de rencontre entre stratégie, budget, opérations, risques et preuve. Sa finalité n’est pas de commenter le tableau de bord, mais de décider. Une revue bien conçue se termine par des responsabilités nominatives, des échéances, des preuves attendues et un mécanisme de suivi.</w:t>
      </w:r>
    </w:p>
    <w:tbl>
      <w:tblPr>
        <w:tblStyle w:val="TableGrid"/>
        <w:tblW w:type="auto" w:w="0"/>
        <w:jc w:val="center"/>
        <w:tblLook w:firstColumn="1" w:firstRow="1" w:lastColumn="0" w:lastRow="0" w:noHBand="0" w:noVBand="1" w:val="04A0"/>
      </w:tblPr>
      <w:tblGrid>
        <w:gridCol w:w="1680"/>
        <w:gridCol w:w="1680"/>
        <w:gridCol w:w="1680"/>
        <w:gridCol w:w="1680"/>
        <w:gridCol w:w="1680"/>
        <w:gridCol w:w="1680"/>
      </w:tblGrid>
      <w:tr>
        <w:trPr>
          <w:tblHeader w:val="true"/>
        </w:trPr>
        <w:tc>
          <w:tcPr>
            <w:tcW w:type="dxa" w:w="2304"/>
            <w:shd w:fill="17365D"/>
            <w:vAlign w:val="center"/>
            <w:tcMar>
              <w:top w:w="120" w:type="dxa"/>
              <w:start w:w="110" w:type="dxa"/>
              <w:bottom w:w="120" w:type="dxa"/>
              <w:end w:w="110" w:type="dxa"/>
            </w:tcMar>
          </w:tcPr>
          <w:p>
            <w:pPr>
              <w:jc w:val="center"/>
            </w:pPr>
            <w:r>
              <w:rPr>
                <w:b/>
                <w:color w:val="FFFFFF"/>
                <w:sz w:val="16"/>
              </w:rPr>
              <w:t>Résultat prioritaire</w:t>
            </w:r>
          </w:p>
        </w:tc>
        <w:tc>
          <w:tcPr>
            <w:tcW w:type="dxa" w:w="2016"/>
            <w:shd w:fill="17365D"/>
            <w:vAlign w:val="center"/>
            <w:tcMar>
              <w:top w:w="120" w:type="dxa"/>
              <w:start w:w="110" w:type="dxa"/>
              <w:bottom w:w="120" w:type="dxa"/>
              <w:end w:w="110" w:type="dxa"/>
            </w:tcMar>
          </w:tcPr>
          <w:p>
            <w:pPr>
              <w:jc w:val="center"/>
            </w:pPr>
            <w:r>
              <w:rPr>
                <w:b/>
                <w:color w:val="FFFFFF"/>
                <w:sz w:val="16"/>
              </w:rPr>
              <w:t>KPI</w:t>
            </w:r>
          </w:p>
        </w:tc>
        <w:tc>
          <w:tcPr>
            <w:tcW w:type="dxa" w:w="2160"/>
            <w:shd w:fill="17365D"/>
            <w:vAlign w:val="center"/>
            <w:tcMar>
              <w:top w:w="120" w:type="dxa"/>
              <w:start w:w="110" w:type="dxa"/>
              <w:bottom w:w="120" w:type="dxa"/>
              <w:end w:w="110" w:type="dxa"/>
            </w:tcMar>
          </w:tcPr>
          <w:p>
            <w:pPr>
              <w:jc w:val="center"/>
            </w:pPr>
            <w:r>
              <w:rPr>
                <w:b/>
                <w:color w:val="FFFFFF"/>
                <w:sz w:val="16"/>
              </w:rPr>
              <w:t>KRI</w:t>
            </w:r>
          </w:p>
        </w:tc>
        <w:tc>
          <w:tcPr>
            <w:tcW w:type="dxa" w:w="1152"/>
            <w:shd w:fill="17365D"/>
            <w:vAlign w:val="center"/>
            <w:tcMar>
              <w:top w:w="120" w:type="dxa"/>
              <w:start w:w="110" w:type="dxa"/>
              <w:bottom w:w="120" w:type="dxa"/>
              <w:end w:w="110" w:type="dxa"/>
            </w:tcMar>
          </w:tcPr>
          <w:p>
            <w:pPr>
              <w:jc w:val="center"/>
            </w:pPr>
            <w:r>
              <w:rPr>
                <w:b/>
                <w:color w:val="FFFFFF"/>
                <w:sz w:val="16"/>
              </w:rPr>
              <w:t>Statut</w:t>
            </w:r>
          </w:p>
        </w:tc>
        <w:tc>
          <w:tcPr>
            <w:tcW w:type="dxa" w:w="1440"/>
            <w:shd w:fill="17365D"/>
            <w:vAlign w:val="center"/>
            <w:tcMar>
              <w:top w:w="120" w:type="dxa"/>
              <w:start w:w="110" w:type="dxa"/>
              <w:bottom w:w="120" w:type="dxa"/>
              <w:end w:w="110" w:type="dxa"/>
            </w:tcMar>
          </w:tcPr>
          <w:p>
            <w:pPr>
              <w:jc w:val="center"/>
            </w:pPr>
            <w:r>
              <w:rPr>
                <w:b/>
                <w:color w:val="FFFFFF"/>
                <w:sz w:val="16"/>
              </w:rPr>
              <w:t>Tendance</w:t>
            </w:r>
          </w:p>
        </w:tc>
        <w:tc>
          <w:tcPr>
            <w:tcW w:type="dxa" w:w="1728"/>
            <w:shd w:fill="17365D"/>
            <w:vAlign w:val="center"/>
            <w:tcMar>
              <w:top w:w="120" w:type="dxa"/>
              <w:start w:w="110" w:type="dxa"/>
              <w:bottom w:w="120" w:type="dxa"/>
              <w:end w:w="110" w:type="dxa"/>
            </w:tcMar>
          </w:tcPr>
          <w:p>
            <w:pPr>
              <w:jc w:val="center"/>
            </w:pPr>
            <w:r>
              <w:rPr>
                <w:b/>
                <w:color w:val="FFFFFF"/>
                <w:sz w:val="16"/>
              </w:rPr>
              <w:t>Preuve</w:t>
            </w:r>
          </w:p>
        </w:tc>
      </w:tr>
      <w:tr>
        <w:tc>
          <w:tcPr>
            <w:tcW w:type="dxa" w:w="2304"/>
            <w:vAlign w:val="center"/>
            <w:tcMar>
              <w:top w:w="100" w:type="dxa"/>
              <w:start w:w="100" w:type="dxa"/>
              <w:bottom w:w="100" w:type="dxa"/>
              <w:end w:w="100" w:type="dxa"/>
            </w:tcMar>
          </w:tcPr>
          <w:p>
            <w:pPr>
              <w:spacing w:after="0"/>
            </w:pPr>
            <w:r>
              <w:rPr>
                <w:rFonts w:ascii="Aptos" w:hAnsi="Aptos"/>
                <w:sz w:val="16"/>
              </w:rPr>
              <w:t>Réduction délais</w:t>
            </w:r>
          </w:p>
        </w:tc>
        <w:tc>
          <w:tcPr>
            <w:tcW w:type="dxa" w:w="2016"/>
            <w:vAlign w:val="center"/>
            <w:tcMar>
              <w:top w:w="100" w:type="dxa"/>
              <w:start w:w="100" w:type="dxa"/>
              <w:bottom w:w="100" w:type="dxa"/>
              <w:end w:w="100" w:type="dxa"/>
            </w:tcMar>
          </w:tcPr>
          <w:p>
            <w:pPr>
              <w:spacing w:after="0"/>
            </w:pPr>
            <w:r>
              <w:rPr>
                <w:rFonts w:ascii="Aptos" w:hAnsi="Aptos"/>
                <w:sz w:val="16"/>
              </w:rPr>
              <w:t>42 j / cible 30 j</w:t>
            </w:r>
          </w:p>
        </w:tc>
        <w:tc>
          <w:tcPr>
            <w:tcW w:type="dxa" w:w="2160"/>
            <w:vAlign w:val="center"/>
            <w:tcMar>
              <w:top w:w="100" w:type="dxa"/>
              <w:start w:w="100" w:type="dxa"/>
              <w:bottom w:w="100" w:type="dxa"/>
              <w:end w:w="100" w:type="dxa"/>
            </w:tcMar>
          </w:tcPr>
          <w:p>
            <w:pPr>
              <w:spacing w:after="0"/>
            </w:pPr>
            <w:r>
              <w:rPr>
                <w:rFonts w:ascii="Aptos" w:hAnsi="Aptos"/>
                <w:sz w:val="16"/>
              </w:rPr>
              <w:t>Retard fournisseur 18 %</w:t>
            </w:r>
          </w:p>
        </w:tc>
        <w:tc>
          <w:tcPr>
            <w:tcW w:type="dxa" w:w="1152"/>
            <w:vAlign w:val="center"/>
            <w:tcMar>
              <w:top w:w="100" w:type="dxa"/>
              <w:start w:w="100" w:type="dxa"/>
              <w:bottom w:w="100" w:type="dxa"/>
              <w:end w:w="100" w:type="dxa"/>
            </w:tcMar>
          </w:tcPr>
          <w:p>
            <w:pPr>
              <w:spacing w:after="0"/>
            </w:pPr>
            <w:r>
              <w:rPr>
                <w:rFonts w:ascii="Aptos" w:hAnsi="Aptos"/>
                <w:sz w:val="16"/>
              </w:rPr>
              <w:t>Rouge</w:t>
            </w:r>
          </w:p>
        </w:tc>
        <w:tc>
          <w:tcPr>
            <w:tcW w:type="dxa" w:w="1440"/>
            <w:vAlign w:val="center"/>
            <w:tcMar>
              <w:top w:w="100" w:type="dxa"/>
              <w:start w:w="100" w:type="dxa"/>
              <w:bottom w:w="100" w:type="dxa"/>
              <w:end w:w="100" w:type="dxa"/>
            </w:tcMar>
          </w:tcPr>
          <w:p>
            <w:pPr>
              <w:spacing w:after="0"/>
            </w:pPr>
            <w:r>
              <w:rPr>
                <w:rFonts w:ascii="Aptos" w:hAnsi="Aptos"/>
                <w:sz w:val="16"/>
              </w:rPr>
              <w:t>Dégradation</w:t>
            </w:r>
          </w:p>
        </w:tc>
        <w:tc>
          <w:tcPr>
            <w:tcW w:type="dxa" w:w="1728"/>
            <w:vAlign w:val="center"/>
            <w:tcMar>
              <w:top w:w="100" w:type="dxa"/>
              <w:start w:w="100" w:type="dxa"/>
              <w:bottom w:w="100" w:type="dxa"/>
              <w:end w:w="100" w:type="dxa"/>
            </w:tcMar>
          </w:tcPr>
          <w:p>
            <w:pPr>
              <w:spacing w:after="0"/>
            </w:pPr>
            <w:r>
              <w:rPr>
                <w:rFonts w:ascii="Aptos" w:hAnsi="Aptos"/>
                <w:sz w:val="16"/>
              </w:rPr>
              <w:t>Logs SI</w:t>
            </w:r>
          </w:p>
        </w:tc>
      </w:tr>
      <w:tr>
        <w:tc>
          <w:tcPr>
            <w:tcW w:type="dxa" w:w="2304"/>
            <w:vAlign w:val="center"/>
            <w:tcMar>
              <w:top w:w="100" w:type="dxa"/>
              <w:start w:w="100" w:type="dxa"/>
              <w:bottom w:w="100" w:type="dxa"/>
              <w:end w:w="100" w:type="dxa"/>
            </w:tcMar>
          </w:tcPr>
          <w:p>
            <w:pPr>
              <w:spacing w:after="0"/>
            </w:pPr>
            <w:r>
              <w:rPr>
                <w:rFonts w:ascii="Aptos" w:hAnsi="Aptos"/>
                <w:sz w:val="16"/>
              </w:rPr>
              <w:t>Qualité service</w:t>
            </w:r>
          </w:p>
        </w:tc>
        <w:tc>
          <w:tcPr>
            <w:tcW w:type="dxa" w:w="2016"/>
            <w:vAlign w:val="center"/>
            <w:tcMar>
              <w:top w:w="100" w:type="dxa"/>
              <w:start w:w="100" w:type="dxa"/>
              <w:bottom w:w="100" w:type="dxa"/>
              <w:end w:w="100" w:type="dxa"/>
            </w:tcMar>
          </w:tcPr>
          <w:p>
            <w:pPr>
              <w:spacing w:after="0"/>
            </w:pPr>
            <w:r>
              <w:rPr>
                <w:rFonts w:ascii="Aptos" w:hAnsi="Aptos"/>
                <w:sz w:val="16"/>
              </w:rPr>
              <w:t>96,5 % / cible 85 %</w:t>
            </w:r>
          </w:p>
        </w:tc>
        <w:tc>
          <w:tcPr>
            <w:tcW w:type="dxa" w:w="2160"/>
            <w:vAlign w:val="center"/>
            <w:tcMar>
              <w:top w:w="100" w:type="dxa"/>
              <w:start w:w="100" w:type="dxa"/>
              <w:bottom w:w="100" w:type="dxa"/>
              <w:end w:w="100" w:type="dxa"/>
            </w:tcMar>
          </w:tcPr>
          <w:p>
            <w:pPr>
              <w:spacing w:after="0"/>
            </w:pPr>
            <w:r>
              <w:rPr>
                <w:rFonts w:ascii="Aptos" w:hAnsi="Aptos"/>
                <w:sz w:val="16"/>
              </w:rPr>
              <w:t>Réclamations 2 %</w:t>
            </w:r>
          </w:p>
        </w:tc>
        <w:tc>
          <w:tcPr>
            <w:tcW w:type="dxa" w:w="1152"/>
            <w:vAlign w:val="center"/>
            <w:tcMar>
              <w:top w:w="100" w:type="dxa"/>
              <w:start w:w="100" w:type="dxa"/>
              <w:bottom w:w="100" w:type="dxa"/>
              <w:end w:w="100" w:type="dxa"/>
            </w:tcMar>
          </w:tcPr>
          <w:p>
            <w:pPr>
              <w:spacing w:after="0"/>
            </w:pPr>
            <w:r>
              <w:rPr>
                <w:rFonts w:ascii="Aptos" w:hAnsi="Aptos"/>
                <w:sz w:val="16"/>
              </w:rPr>
              <w:t>Vert</w:t>
            </w:r>
          </w:p>
        </w:tc>
        <w:tc>
          <w:tcPr>
            <w:tcW w:type="dxa" w:w="1440"/>
            <w:vAlign w:val="center"/>
            <w:tcMar>
              <w:top w:w="100" w:type="dxa"/>
              <w:start w:w="100" w:type="dxa"/>
              <w:bottom w:w="100" w:type="dxa"/>
              <w:end w:w="100" w:type="dxa"/>
            </w:tcMar>
          </w:tcPr>
          <w:p>
            <w:pPr>
              <w:spacing w:after="0"/>
            </w:pPr>
            <w:r>
              <w:rPr>
                <w:rFonts w:ascii="Aptos" w:hAnsi="Aptos"/>
                <w:sz w:val="16"/>
              </w:rPr>
              <w:t>Amélioration</w:t>
            </w:r>
          </w:p>
        </w:tc>
        <w:tc>
          <w:tcPr>
            <w:tcW w:type="dxa" w:w="1728"/>
            <w:vAlign w:val="center"/>
            <w:tcMar>
              <w:top w:w="100" w:type="dxa"/>
              <w:start w:w="100" w:type="dxa"/>
              <w:bottom w:w="100" w:type="dxa"/>
              <w:end w:w="100" w:type="dxa"/>
            </w:tcMar>
          </w:tcPr>
          <w:p>
            <w:pPr>
              <w:spacing w:after="0"/>
            </w:pPr>
            <w:r>
              <w:rPr>
                <w:rFonts w:ascii="Aptos" w:hAnsi="Aptos"/>
                <w:sz w:val="16"/>
              </w:rPr>
              <w:t>Rapport audit</w:t>
            </w:r>
          </w:p>
        </w:tc>
      </w:tr>
      <w:tr>
        <w:tc>
          <w:tcPr>
            <w:tcW w:type="dxa" w:w="2304"/>
            <w:vAlign w:val="center"/>
            <w:tcMar>
              <w:top w:w="100" w:type="dxa"/>
              <w:start w:w="100" w:type="dxa"/>
              <w:bottom w:w="100" w:type="dxa"/>
              <w:end w:w="100" w:type="dxa"/>
            </w:tcMar>
          </w:tcPr>
          <w:p>
            <w:pPr>
              <w:spacing w:after="0"/>
            </w:pPr>
            <w:r>
              <w:rPr>
                <w:rFonts w:ascii="Aptos" w:hAnsi="Aptos"/>
                <w:sz w:val="16"/>
              </w:rPr>
              <w:t>Couverture cible</w:t>
            </w:r>
          </w:p>
        </w:tc>
        <w:tc>
          <w:tcPr>
            <w:tcW w:type="dxa" w:w="2016"/>
            <w:vAlign w:val="center"/>
            <w:tcMar>
              <w:top w:w="100" w:type="dxa"/>
              <w:start w:w="100" w:type="dxa"/>
              <w:bottom w:w="100" w:type="dxa"/>
              <w:end w:w="100" w:type="dxa"/>
            </w:tcMar>
          </w:tcPr>
          <w:p>
            <w:pPr>
              <w:spacing w:after="0"/>
            </w:pPr>
            <w:r>
              <w:rPr>
                <w:rFonts w:ascii="Aptos" w:hAnsi="Aptos"/>
                <w:sz w:val="16"/>
              </w:rPr>
              <w:t>58 % / cible 85 %</w:t>
            </w:r>
          </w:p>
        </w:tc>
        <w:tc>
          <w:tcPr>
            <w:tcW w:type="dxa" w:w="2160"/>
            <w:vAlign w:val="center"/>
            <w:tcMar>
              <w:top w:w="100" w:type="dxa"/>
              <w:start w:w="100" w:type="dxa"/>
              <w:bottom w:w="100" w:type="dxa"/>
              <w:end w:w="100" w:type="dxa"/>
            </w:tcMar>
          </w:tcPr>
          <w:p>
            <w:pPr>
              <w:spacing w:after="0"/>
            </w:pPr>
            <w:r>
              <w:rPr>
                <w:rFonts w:ascii="Aptos" w:hAnsi="Aptos"/>
                <w:sz w:val="16"/>
              </w:rPr>
              <w:t>Liquidité prestataire critique</w:t>
            </w:r>
          </w:p>
        </w:tc>
        <w:tc>
          <w:tcPr>
            <w:tcW w:type="dxa" w:w="1152"/>
            <w:vAlign w:val="center"/>
            <w:tcMar>
              <w:top w:w="100" w:type="dxa"/>
              <w:start w:w="100" w:type="dxa"/>
              <w:bottom w:w="100" w:type="dxa"/>
              <w:end w:w="100" w:type="dxa"/>
            </w:tcMar>
          </w:tcPr>
          <w:p>
            <w:pPr>
              <w:spacing w:after="0"/>
            </w:pPr>
            <w:r>
              <w:rPr>
                <w:rFonts w:ascii="Aptos" w:hAnsi="Aptos"/>
                <w:sz w:val="16"/>
              </w:rPr>
              <w:t>Rouge</w:t>
            </w:r>
          </w:p>
        </w:tc>
        <w:tc>
          <w:tcPr>
            <w:tcW w:type="dxa" w:w="1440"/>
            <w:vAlign w:val="center"/>
            <w:tcMar>
              <w:top w:w="100" w:type="dxa"/>
              <w:start w:w="100" w:type="dxa"/>
              <w:bottom w:w="100" w:type="dxa"/>
              <w:end w:w="100" w:type="dxa"/>
            </w:tcMar>
          </w:tcPr>
          <w:p>
            <w:pPr>
              <w:spacing w:after="0"/>
            </w:pPr>
            <w:r>
              <w:rPr>
                <w:rFonts w:ascii="Aptos" w:hAnsi="Aptos"/>
                <w:sz w:val="16"/>
              </w:rPr>
              <w:t>Dégradation</w:t>
            </w:r>
          </w:p>
        </w:tc>
        <w:tc>
          <w:tcPr>
            <w:tcW w:type="dxa" w:w="1728"/>
            <w:vAlign w:val="center"/>
            <w:tcMar>
              <w:top w:w="100" w:type="dxa"/>
              <w:start w:w="100" w:type="dxa"/>
              <w:bottom w:w="100" w:type="dxa"/>
              <w:end w:w="100" w:type="dxa"/>
            </w:tcMar>
          </w:tcPr>
          <w:p>
            <w:pPr>
              <w:spacing w:after="0"/>
            </w:pPr>
            <w:r>
              <w:rPr>
                <w:rFonts w:ascii="Aptos" w:hAnsi="Aptos"/>
                <w:sz w:val="16"/>
              </w:rPr>
              <w:t>Enquête couverture</w:t>
            </w:r>
          </w:p>
        </w:tc>
      </w:tr>
    </w:tbl>
    <w:p/>
    <w:p>
      <w:pPr>
        <w:pStyle w:val="Heading2"/>
        <w:keepNext/>
      </w:pPr>
      <w:r>
        <w:t>6.1 Séquence recommandée de la revue</w:t>
      </w:r>
    </w:p>
    <w:p>
      <w:pPr>
        <w:ind w:left="259" w:hanging="259"/>
      </w:pPr>
      <w:r>
        <w:rPr>
          <w:b/>
        </w:rPr>
        <w:t xml:space="preserve">1. </w:t>
      </w:r>
      <w:r>
        <w:t>Constater les écarts à partir de chiffres et sources validés.</w:t>
      </w:r>
    </w:p>
    <w:p>
      <w:pPr>
        <w:ind w:left="259" w:hanging="259"/>
      </w:pPr>
      <w:r>
        <w:rPr>
          <w:b/>
        </w:rPr>
        <w:t xml:space="preserve">2. </w:t>
      </w:r>
      <w:r>
        <w:t>Séparer les symptômes des hypothèses explicatives.</w:t>
      </w:r>
    </w:p>
    <w:p>
      <w:pPr>
        <w:ind w:left="259" w:hanging="259"/>
      </w:pPr>
      <w:r>
        <w:rPr>
          <w:b/>
        </w:rPr>
        <w:t xml:space="preserve">3. </w:t>
      </w:r>
      <w:r>
        <w:t>Tester les hypothèses contre les preuves disponibles.</w:t>
      </w:r>
    </w:p>
    <w:p>
      <w:pPr>
        <w:ind w:left="259" w:hanging="259"/>
      </w:pPr>
      <w:r>
        <w:rPr>
          <w:b/>
        </w:rPr>
        <w:t xml:space="preserve">4. </w:t>
      </w:r>
      <w:r>
        <w:t>Valider la ou les causes racines ; expliciter ce qui reste incertain.</w:t>
      </w:r>
    </w:p>
    <w:p>
      <w:pPr>
        <w:ind w:left="259" w:hanging="259"/>
      </w:pPr>
      <w:r>
        <w:rPr>
          <w:b/>
        </w:rPr>
        <w:t xml:space="preserve">5. </w:t>
      </w:r>
      <w:r>
        <w:t>Formuler plusieurs options, avec coûts, impacts, risques et dépendances.</w:t>
      </w:r>
    </w:p>
    <w:p>
      <w:pPr>
        <w:ind w:left="259" w:hanging="259"/>
      </w:pPr>
      <w:r>
        <w:rPr>
          <w:b/>
        </w:rPr>
        <w:t xml:space="preserve">6. </w:t>
      </w:r>
      <w:r>
        <w:t>Arbitrer et consigner la décision humaine.</w:t>
      </w:r>
    </w:p>
    <w:p>
      <w:pPr>
        <w:ind w:left="259" w:hanging="259"/>
      </w:pPr>
      <w:r>
        <w:rPr>
          <w:b/>
        </w:rPr>
        <w:t xml:space="preserve">7. </w:t>
      </w:r>
      <w:r>
        <w:t>Nommer un responsable, fixer une échéance et définir la preuve de réalisation.</w:t>
      </w:r>
    </w:p>
    <w:p>
      <w:pPr>
        <w:ind w:left="259" w:hanging="259"/>
      </w:pPr>
      <w:r>
        <w:rPr>
          <w:b/>
        </w:rPr>
        <w:t xml:space="preserve">8. </w:t>
      </w:r>
      <w:r>
        <w:t>Réexaminer l’engagement à la revue suivante.</w:t>
      </w:r>
    </w:p>
    <w:tbl>
      <w:tblPr>
        <w:tblW w:type="auto" w:w="0"/>
        <w:jc w:val="center"/>
        <w:tblLook w:firstColumn="1" w:firstRow="1" w:lastColumn="0" w:lastRow="0" w:noHBand="0" w:noVBand="1" w:val="04A0"/>
      </w:tblPr>
      <w:tblGrid>
        <w:gridCol w:w="10080"/>
      </w:tblGrid>
      <w:tr>
        <w:trPr>
          <w:cantSplit/>
        </w:trPr>
        <w:tc>
          <w:tcPr>
            <w:tcW w:type="dxa" w:w="10080"/>
            <w:shd w:fill="E2F0D9"/>
            <w:tcMar>
              <w:top w:w="140" w:type="dxa"/>
              <w:start w:w="160" w:type="dxa"/>
              <w:bottom w:w="140" w:type="dxa"/>
              <w:end w:w="160" w:type="dxa"/>
            </w:tcMar>
          </w:tcPr>
          <w:p>
            <w:r>
              <w:rPr>
                <w:b/>
                <w:color w:val="1F4E79"/>
                <w:sz w:val="21"/>
              </w:rPr>
              <w:t xml:space="preserve">Test de qualité d’une revue  </w:t>
            </w:r>
            <w:r>
              <w:rPr>
                <w:sz w:val="21"/>
              </w:rPr>
              <w:t>Si aucun arbitrage, aucune responsabilité et aucune échéance nouvelle ne sortent de la séance, il s’agit probablement d’un reporting commenté, pas d’une revue de performance.</w:t>
            </w:r>
          </w:p>
        </w:tc>
      </w:tr>
    </w:tbl>
    <w:p/>
    <w:p>
      <w:pPr>
        <w:pStyle w:val="Heading1"/>
        <w:keepNext/>
      </w:pPr>
      <w:r>
        <w:t>7. Management augmenté : gouverner l’usage de l’IA sans transférer la responsabilité</w:t>
      </w:r>
    </w:p>
    <w:p>
      <w:r>
        <w:t>L’IA augmente la capacité du manager à explorer des documents, comparer des scénarios, repérer des incohérences et préparer une synthèse. Plus la tâche implique de valeurs, de droits, de sanctions, de causalité complexe ou de responsabilité, plus le contrôle humain doit être élevé.</w:t>
      </w:r>
    </w:p>
    <w:p>
      <w:pPr>
        <w:jc w:val="center"/>
      </w:pPr>
      <w:r>
        <w:drawing>
          <wp:inline xmlns:a="http://schemas.openxmlformats.org/drawingml/2006/main" xmlns:pic="http://schemas.openxmlformats.org/drawingml/2006/picture">
            <wp:extent cx="5943600" cy="3365814"/>
            <wp:docPr id="4" name="Picture 4"/>
            <wp:cNvGraphicFramePr>
              <a:graphicFrameLocks noChangeAspect="1"/>
            </wp:cNvGraphicFramePr>
            <a:graphic>
              <a:graphicData uri="http://schemas.openxmlformats.org/drawingml/2006/picture">
                <pic:pic>
                  <pic:nvPicPr>
                    <pic:cNvPr id="0" name="delegation.png"/>
                    <pic:cNvPicPr/>
                  </pic:nvPicPr>
                  <pic:blipFill>
                    <a:blip r:embed="rId11"/>
                    <a:stretch>
                      <a:fillRect/>
                    </a:stretch>
                  </pic:blipFill>
                  <pic:spPr>
                    <a:xfrm>
                      <a:off x="0" y="0"/>
                      <a:ext cx="5943600" cy="3365814"/>
                    </a:xfrm>
                    <a:prstGeom prst="rect"/>
                  </pic:spPr>
                </pic:pic>
              </a:graphicData>
            </a:graphic>
          </wp:inline>
        </w:drawing>
      </w:r>
    </w:p>
    <w:p>
      <w:pPr>
        <w:pStyle w:val="Caption"/>
        <w:jc w:val="center"/>
      </w:pPr>
      <w:r>
        <w:t>Figure 4 — Une grille simple pour décider ce qui doit être supprimé, automatisé, augmenté ou préservé.</w:t>
      </w:r>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trPr>
        <w:tc>
          <w:tcPr>
            <w:tcW w:type="dxa" w:w="1728"/>
            <w:shd w:fill="17365D"/>
            <w:vAlign w:val="center"/>
            <w:tcMar>
              <w:top w:w="120" w:type="dxa"/>
              <w:start w:w="110" w:type="dxa"/>
              <w:bottom w:w="120" w:type="dxa"/>
              <w:end w:w="110" w:type="dxa"/>
            </w:tcMar>
          </w:tcPr>
          <w:p>
            <w:pPr>
              <w:jc w:val="center"/>
            </w:pPr>
            <w:r>
              <w:rPr>
                <w:b/>
                <w:color w:val="FFFFFF"/>
                <w:sz w:val="16"/>
              </w:rPr>
              <w:t>Option</w:t>
            </w:r>
          </w:p>
        </w:tc>
        <w:tc>
          <w:tcPr>
            <w:tcW w:type="dxa" w:w="3384"/>
            <w:shd w:fill="17365D"/>
            <w:vAlign w:val="center"/>
            <w:tcMar>
              <w:top w:w="120" w:type="dxa"/>
              <w:start w:w="110" w:type="dxa"/>
              <w:bottom w:w="120" w:type="dxa"/>
              <w:end w:w="110" w:type="dxa"/>
            </w:tcMar>
          </w:tcPr>
          <w:p>
            <w:pPr>
              <w:jc w:val="center"/>
            </w:pPr>
            <w:r>
              <w:rPr>
                <w:b/>
                <w:color w:val="FFFFFF"/>
                <w:sz w:val="16"/>
              </w:rPr>
              <w:t>Quand l’utiliser</w:t>
            </w:r>
          </w:p>
        </w:tc>
        <w:tc>
          <w:tcPr>
            <w:tcW w:type="dxa" w:w="2880"/>
            <w:shd w:fill="17365D"/>
            <w:vAlign w:val="center"/>
            <w:tcMar>
              <w:top w:w="120" w:type="dxa"/>
              <w:start w:w="110" w:type="dxa"/>
              <w:bottom w:w="120" w:type="dxa"/>
              <w:end w:w="110" w:type="dxa"/>
            </w:tcMar>
          </w:tcPr>
          <w:p>
            <w:pPr>
              <w:jc w:val="center"/>
            </w:pPr>
            <w:r>
              <w:rPr>
                <w:b/>
                <w:color w:val="FFFFFF"/>
                <w:sz w:val="16"/>
              </w:rPr>
              <w:t>Rôle de l’IA</w:t>
            </w:r>
          </w:p>
        </w:tc>
        <w:tc>
          <w:tcPr>
            <w:tcW w:type="dxa" w:w="2880"/>
            <w:shd w:fill="17365D"/>
            <w:vAlign w:val="center"/>
            <w:tcMar>
              <w:top w:w="120" w:type="dxa"/>
              <w:start w:w="110" w:type="dxa"/>
              <w:bottom w:w="120" w:type="dxa"/>
              <w:end w:w="110" w:type="dxa"/>
            </w:tcMar>
          </w:tcPr>
          <w:p>
            <w:pPr>
              <w:jc w:val="center"/>
            </w:pPr>
            <w:r>
              <w:rPr>
                <w:b/>
                <w:color w:val="FFFFFF"/>
                <w:sz w:val="16"/>
              </w:rPr>
              <w:t>Contrôle humain</w:t>
            </w:r>
          </w:p>
        </w:tc>
      </w:tr>
      <w:tr>
        <w:tc>
          <w:tcPr>
            <w:tcW w:type="dxa" w:w="1728"/>
            <w:vAlign w:val="center"/>
            <w:tcMar>
              <w:top w:w="100" w:type="dxa"/>
              <w:start w:w="100" w:type="dxa"/>
              <w:bottom w:w="100" w:type="dxa"/>
              <w:end w:w="100" w:type="dxa"/>
            </w:tcMar>
          </w:tcPr>
          <w:p>
            <w:pPr>
              <w:spacing w:after="0"/>
            </w:pPr>
            <w:r>
              <w:rPr>
                <w:rFonts w:ascii="Aptos" w:hAnsi="Aptos"/>
                <w:sz w:val="16"/>
              </w:rPr>
              <w:t>Supprimer</w:t>
            </w:r>
          </w:p>
        </w:tc>
        <w:tc>
          <w:tcPr>
            <w:tcW w:type="dxa" w:w="3384"/>
            <w:vAlign w:val="center"/>
            <w:tcMar>
              <w:top w:w="100" w:type="dxa"/>
              <w:start w:w="100" w:type="dxa"/>
              <w:bottom w:w="100" w:type="dxa"/>
              <w:end w:w="100" w:type="dxa"/>
            </w:tcMar>
          </w:tcPr>
          <w:p>
            <w:pPr>
              <w:spacing w:after="0"/>
            </w:pPr>
            <w:r>
              <w:rPr>
                <w:rFonts w:ascii="Aptos" w:hAnsi="Aptos"/>
                <w:sz w:val="16"/>
              </w:rPr>
              <w:t>Doublon, contrôle obsolète, tâche sans valeur.</w:t>
            </w:r>
          </w:p>
        </w:tc>
        <w:tc>
          <w:tcPr>
            <w:tcW w:type="dxa" w:w="2880"/>
            <w:vAlign w:val="center"/>
            <w:tcMar>
              <w:top w:w="100" w:type="dxa"/>
              <w:start w:w="100" w:type="dxa"/>
              <w:bottom w:w="100" w:type="dxa"/>
              <w:end w:w="100" w:type="dxa"/>
            </w:tcMar>
          </w:tcPr>
          <w:p>
            <w:pPr>
              <w:spacing w:after="0"/>
            </w:pPr>
            <w:r>
              <w:rPr>
                <w:rFonts w:ascii="Aptos" w:hAnsi="Aptos"/>
                <w:sz w:val="16"/>
              </w:rPr>
              <w:t>Aucun.</w:t>
            </w:r>
          </w:p>
        </w:tc>
        <w:tc>
          <w:tcPr>
            <w:tcW w:type="dxa" w:w="2880"/>
            <w:vAlign w:val="center"/>
            <w:tcMar>
              <w:top w:w="100" w:type="dxa"/>
              <w:start w:w="100" w:type="dxa"/>
              <w:bottom w:w="100" w:type="dxa"/>
              <w:end w:w="100" w:type="dxa"/>
            </w:tcMar>
          </w:tcPr>
          <w:p>
            <w:pPr>
              <w:spacing w:after="0"/>
            </w:pPr>
            <w:r>
              <w:rPr>
                <w:rFonts w:ascii="Aptos" w:hAnsi="Aptos"/>
                <w:sz w:val="16"/>
              </w:rPr>
              <w:t>Valider que la suppression ne crée pas de risque.</w:t>
            </w:r>
          </w:p>
        </w:tc>
      </w:tr>
      <w:tr>
        <w:tc>
          <w:tcPr>
            <w:tcW w:type="dxa" w:w="1728"/>
            <w:vAlign w:val="center"/>
            <w:tcMar>
              <w:top w:w="100" w:type="dxa"/>
              <w:start w:w="100" w:type="dxa"/>
              <w:bottom w:w="100" w:type="dxa"/>
              <w:end w:w="100" w:type="dxa"/>
            </w:tcMar>
          </w:tcPr>
          <w:p>
            <w:pPr>
              <w:spacing w:after="0"/>
            </w:pPr>
            <w:r>
              <w:rPr>
                <w:rFonts w:ascii="Aptos" w:hAnsi="Aptos"/>
                <w:sz w:val="16"/>
              </w:rPr>
              <w:t>Automatiser</w:t>
            </w:r>
          </w:p>
        </w:tc>
        <w:tc>
          <w:tcPr>
            <w:tcW w:type="dxa" w:w="3384"/>
            <w:vAlign w:val="center"/>
            <w:tcMar>
              <w:top w:w="100" w:type="dxa"/>
              <w:start w:w="100" w:type="dxa"/>
              <w:bottom w:w="100" w:type="dxa"/>
              <w:end w:w="100" w:type="dxa"/>
            </w:tcMar>
          </w:tcPr>
          <w:p>
            <w:pPr>
              <w:spacing w:after="0"/>
            </w:pPr>
            <w:r>
              <w:rPr>
                <w:rFonts w:ascii="Aptos" w:hAnsi="Aptos"/>
                <w:sz w:val="16"/>
              </w:rPr>
              <w:t>Règles stables, répétition, faible ambiguïté.</w:t>
            </w:r>
          </w:p>
        </w:tc>
        <w:tc>
          <w:tcPr>
            <w:tcW w:type="dxa" w:w="2880"/>
            <w:vAlign w:val="center"/>
            <w:tcMar>
              <w:top w:w="100" w:type="dxa"/>
              <w:start w:w="100" w:type="dxa"/>
              <w:bottom w:w="100" w:type="dxa"/>
              <w:end w:w="100" w:type="dxa"/>
            </w:tcMar>
          </w:tcPr>
          <w:p>
            <w:pPr>
              <w:spacing w:after="0"/>
            </w:pPr>
            <w:r>
              <w:rPr>
                <w:rFonts w:ascii="Aptos" w:hAnsi="Aptos"/>
                <w:sz w:val="16"/>
              </w:rPr>
              <w:t>Exécution de workflow.</w:t>
            </w:r>
          </w:p>
        </w:tc>
        <w:tc>
          <w:tcPr>
            <w:tcW w:type="dxa" w:w="2880"/>
            <w:vAlign w:val="center"/>
            <w:tcMar>
              <w:top w:w="100" w:type="dxa"/>
              <w:start w:w="100" w:type="dxa"/>
              <w:bottom w:w="100" w:type="dxa"/>
              <w:end w:w="100" w:type="dxa"/>
            </w:tcMar>
          </w:tcPr>
          <w:p>
            <w:pPr>
              <w:spacing w:after="0"/>
            </w:pPr>
            <w:r>
              <w:rPr>
                <w:rFonts w:ascii="Aptos" w:hAnsi="Aptos"/>
                <w:sz w:val="16"/>
              </w:rPr>
              <w:t>Audits, exceptions et reprise en main.</w:t>
            </w:r>
          </w:p>
        </w:tc>
      </w:tr>
      <w:tr>
        <w:tc>
          <w:tcPr>
            <w:tcW w:type="dxa" w:w="1728"/>
            <w:vAlign w:val="center"/>
            <w:tcMar>
              <w:top w:w="100" w:type="dxa"/>
              <w:start w:w="100" w:type="dxa"/>
              <w:bottom w:w="100" w:type="dxa"/>
              <w:end w:w="100" w:type="dxa"/>
            </w:tcMar>
          </w:tcPr>
          <w:p>
            <w:pPr>
              <w:spacing w:after="0"/>
            </w:pPr>
            <w:r>
              <w:rPr>
                <w:rFonts w:ascii="Aptos" w:hAnsi="Aptos"/>
                <w:sz w:val="16"/>
              </w:rPr>
              <w:t>Augmenter</w:t>
            </w:r>
          </w:p>
        </w:tc>
        <w:tc>
          <w:tcPr>
            <w:tcW w:type="dxa" w:w="3384"/>
            <w:vAlign w:val="center"/>
            <w:tcMar>
              <w:top w:w="100" w:type="dxa"/>
              <w:start w:w="100" w:type="dxa"/>
              <w:bottom w:w="100" w:type="dxa"/>
              <w:end w:w="100" w:type="dxa"/>
            </w:tcMar>
          </w:tcPr>
          <w:p>
            <w:pPr>
              <w:spacing w:after="0"/>
            </w:pPr>
            <w:r>
              <w:rPr>
                <w:rFonts w:ascii="Aptos" w:hAnsi="Aptos"/>
                <w:sz w:val="16"/>
              </w:rPr>
              <w:t>Analyse, synthèse, comparaison, détection de motifs.</w:t>
            </w:r>
          </w:p>
        </w:tc>
        <w:tc>
          <w:tcPr>
            <w:tcW w:type="dxa" w:w="2880"/>
            <w:vAlign w:val="center"/>
            <w:tcMar>
              <w:top w:w="100" w:type="dxa"/>
              <w:start w:w="100" w:type="dxa"/>
              <w:bottom w:w="100" w:type="dxa"/>
              <w:end w:w="100" w:type="dxa"/>
            </w:tcMar>
          </w:tcPr>
          <w:p>
            <w:pPr>
              <w:spacing w:after="0"/>
            </w:pPr>
            <w:r>
              <w:rPr>
                <w:rFonts w:ascii="Aptos" w:hAnsi="Aptos"/>
                <w:sz w:val="16"/>
              </w:rPr>
              <w:t>Copilote analytique.</w:t>
            </w:r>
          </w:p>
        </w:tc>
        <w:tc>
          <w:tcPr>
            <w:tcW w:type="dxa" w:w="2880"/>
            <w:vAlign w:val="center"/>
            <w:tcMar>
              <w:top w:w="100" w:type="dxa"/>
              <w:start w:w="100" w:type="dxa"/>
              <w:bottom w:w="100" w:type="dxa"/>
              <w:end w:w="100" w:type="dxa"/>
            </w:tcMar>
          </w:tcPr>
          <w:p>
            <w:pPr>
              <w:spacing w:after="0"/>
            </w:pPr>
            <w:r>
              <w:rPr>
                <w:rFonts w:ascii="Aptos" w:hAnsi="Aptos"/>
                <w:sz w:val="16"/>
              </w:rPr>
              <w:t>Validation des sources, hypothèses et conclusions.</w:t>
            </w:r>
          </w:p>
        </w:tc>
      </w:tr>
      <w:tr>
        <w:tc>
          <w:tcPr>
            <w:tcW w:type="dxa" w:w="1728"/>
            <w:vAlign w:val="center"/>
            <w:tcMar>
              <w:top w:w="100" w:type="dxa"/>
              <w:start w:w="100" w:type="dxa"/>
              <w:bottom w:w="100" w:type="dxa"/>
              <w:end w:w="100" w:type="dxa"/>
            </w:tcMar>
          </w:tcPr>
          <w:p>
            <w:pPr>
              <w:spacing w:after="0"/>
            </w:pPr>
            <w:r>
              <w:rPr>
                <w:rFonts w:ascii="Aptos" w:hAnsi="Aptos"/>
                <w:sz w:val="16"/>
              </w:rPr>
              <w:t>Préserver</w:t>
            </w:r>
          </w:p>
        </w:tc>
        <w:tc>
          <w:tcPr>
            <w:tcW w:type="dxa" w:w="3384"/>
            <w:vAlign w:val="center"/>
            <w:tcMar>
              <w:top w:w="100" w:type="dxa"/>
              <w:start w:w="100" w:type="dxa"/>
              <w:bottom w:w="100" w:type="dxa"/>
              <w:end w:w="100" w:type="dxa"/>
            </w:tcMar>
          </w:tcPr>
          <w:p>
            <w:pPr>
              <w:spacing w:after="0"/>
            </w:pPr>
            <w:r>
              <w:rPr>
                <w:rFonts w:ascii="Aptos" w:hAnsi="Aptos"/>
                <w:sz w:val="16"/>
              </w:rPr>
              <w:t>Valeurs, sanctions, décisions sensibles, responsabilité.</w:t>
            </w:r>
          </w:p>
        </w:tc>
        <w:tc>
          <w:tcPr>
            <w:tcW w:type="dxa" w:w="2880"/>
            <w:vAlign w:val="center"/>
            <w:tcMar>
              <w:top w:w="100" w:type="dxa"/>
              <w:start w:w="100" w:type="dxa"/>
              <w:bottom w:w="100" w:type="dxa"/>
              <w:end w:w="100" w:type="dxa"/>
            </w:tcMar>
          </w:tcPr>
          <w:p>
            <w:pPr>
              <w:spacing w:after="0"/>
            </w:pPr>
            <w:r>
              <w:rPr>
                <w:rFonts w:ascii="Aptos" w:hAnsi="Aptos"/>
                <w:sz w:val="16"/>
              </w:rPr>
              <w:t>Appui documentaire limité.</w:t>
            </w:r>
          </w:p>
        </w:tc>
        <w:tc>
          <w:tcPr>
            <w:tcW w:type="dxa" w:w="2880"/>
            <w:vAlign w:val="center"/>
            <w:tcMar>
              <w:top w:w="100" w:type="dxa"/>
              <w:start w:w="100" w:type="dxa"/>
              <w:bottom w:w="100" w:type="dxa"/>
              <w:end w:w="100" w:type="dxa"/>
            </w:tcMar>
          </w:tcPr>
          <w:p>
            <w:pPr>
              <w:spacing w:after="0"/>
            </w:pPr>
            <w:r>
              <w:rPr>
                <w:rFonts w:ascii="Aptos" w:hAnsi="Aptos"/>
                <w:sz w:val="16"/>
              </w:rPr>
              <w:t>Décision exclusivement humaine.</w:t>
            </w:r>
          </w:p>
        </w:tc>
      </w:tr>
    </w:tbl>
    <w:p/>
    <w:p>
      <w:pPr>
        <w:pStyle w:val="Heading2"/>
        <w:keepNext/>
      </w:pPr>
      <w:r>
        <w:t>7.1 Journal minimal de traçabilité IA</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2880"/>
            <w:shd w:fill="17365D"/>
            <w:vAlign w:val="center"/>
            <w:tcMar>
              <w:top w:w="120" w:type="dxa"/>
              <w:start w:w="110" w:type="dxa"/>
              <w:bottom w:w="120" w:type="dxa"/>
              <w:end w:w="110" w:type="dxa"/>
            </w:tcMar>
          </w:tcPr>
          <w:p>
            <w:pPr>
              <w:jc w:val="center"/>
            </w:pPr>
            <w:r>
              <w:rPr>
                <w:b/>
                <w:color w:val="FFFFFF"/>
                <w:sz w:val="18"/>
              </w:rPr>
              <w:t>Rubrique</w:t>
            </w:r>
          </w:p>
        </w:tc>
        <w:tc>
          <w:tcPr>
            <w:tcW w:type="dxa" w:w="7920"/>
            <w:shd w:fill="17365D"/>
            <w:vAlign w:val="center"/>
            <w:tcMar>
              <w:top w:w="120" w:type="dxa"/>
              <w:start w:w="110" w:type="dxa"/>
              <w:bottom w:w="120" w:type="dxa"/>
              <w:end w:w="110" w:type="dxa"/>
            </w:tcMar>
          </w:tcPr>
          <w:p>
            <w:pPr>
              <w:jc w:val="center"/>
            </w:pPr>
            <w:r>
              <w:rPr>
                <w:b/>
                <w:color w:val="FFFFFF"/>
                <w:sz w:val="18"/>
              </w:rPr>
              <w:t>Contenu attendu</w:t>
            </w:r>
          </w:p>
        </w:tc>
      </w:tr>
      <w:tr>
        <w:tc>
          <w:tcPr>
            <w:tcW w:type="dxa" w:w="2880"/>
            <w:vAlign w:val="center"/>
            <w:tcMar>
              <w:top w:w="100" w:type="dxa"/>
              <w:start w:w="100" w:type="dxa"/>
              <w:bottom w:w="100" w:type="dxa"/>
              <w:end w:w="100" w:type="dxa"/>
            </w:tcMar>
          </w:tcPr>
          <w:p>
            <w:pPr>
              <w:spacing w:after="0"/>
            </w:pPr>
            <w:r>
              <w:rPr>
                <w:rFonts w:ascii="Aptos" w:hAnsi="Aptos"/>
                <w:sz w:val="18"/>
              </w:rPr>
              <w:t>Tâche / question</w:t>
            </w:r>
          </w:p>
        </w:tc>
        <w:tc>
          <w:tcPr>
            <w:tcW w:type="dxa" w:w="7920"/>
            <w:vAlign w:val="center"/>
            <w:tcMar>
              <w:top w:w="100" w:type="dxa"/>
              <w:start w:w="100" w:type="dxa"/>
              <w:bottom w:w="100" w:type="dxa"/>
              <w:end w:w="100" w:type="dxa"/>
            </w:tcMar>
          </w:tcPr>
          <w:p>
            <w:pPr>
              <w:spacing w:after="0"/>
            </w:pPr>
            <w:r>
              <w:rPr>
                <w:rFonts w:ascii="Aptos" w:hAnsi="Aptos"/>
                <w:sz w:val="18"/>
              </w:rPr>
              <w:t>Objet exact confié à l’IA.</w:t>
            </w:r>
          </w:p>
        </w:tc>
      </w:tr>
      <w:tr>
        <w:tc>
          <w:tcPr>
            <w:tcW w:type="dxa" w:w="2880"/>
            <w:vAlign w:val="center"/>
            <w:tcMar>
              <w:top w:w="100" w:type="dxa"/>
              <w:start w:w="100" w:type="dxa"/>
              <w:bottom w:w="100" w:type="dxa"/>
              <w:end w:w="100" w:type="dxa"/>
            </w:tcMar>
          </w:tcPr>
          <w:p>
            <w:pPr>
              <w:spacing w:after="0"/>
            </w:pPr>
            <w:r>
              <w:rPr>
                <w:rFonts w:ascii="Aptos" w:hAnsi="Aptos"/>
                <w:sz w:val="18"/>
              </w:rPr>
              <w:t>Mandat &amp; prompt</w:t>
            </w:r>
          </w:p>
        </w:tc>
        <w:tc>
          <w:tcPr>
            <w:tcW w:type="dxa" w:w="7920"/>
            <w:vAlign w:val="center"/>
            <w:tcMar>
              <w:top w:w="100" w:type="dxa"/>
              <w:start w:w="100" w:type="dxa"/>
              <w:bottom w:w="100" w:type="dxa"/>
              <w:end w:w="100" w:type="dxa"/>
            </w:tcMar>
          </w:tcPr>
          <w:p>
            <w:pPr>
              <w:spacing w:after="0"/>
            </w:pPr>
            <w:r>
              <w:rPr>
                <w:rFonts w:ascii="Aptos" w:hAnsi="Aptos"/>
                <w:sz w:val="18"/>
              </w:rPr>
              <w:t>Rôle, contexte, tâche, sources, critères, format, interdiction d’inventer.</w:t>
            </w:r>
          </w:p>
        </w:tc>
      </w:tr>
      <w:tr>
        <w:tc>
          <w:tcPr>
            <w:tcW w:type="dxa" w:w="2880"/>
            <w:vAlign w:val="center"/>
            <w:tcMar>
              <w:top w:w="100" w:type="dxa"/>
              <w:start w:w="100" w:type="dxa"/>
              <w:bottom w:w="100" w:type="dxa"/>
              <w:end w:w="100" w:type="dxa"/>
            </w:tcMar>
          </w:tcPr>
          <w:p>
            <w:pPr>
              <w:spacing w:after="0"/>
            </w:pPr>
            <w:r>
              <w:rPr>
                <w:rFonts w:ascii="Aptos" w:hAnsi="Aptos"/>
                <w:sz w:val="18"/>
              </w:rPr>
              <w:t>Sources autorisées</w:t>
            </w:r>
          </w:p>
        </w:tc>
        <w:tc>
          <w:tcPr>
            <w:tcW w:type="dxa" w:w="7920"/>
            <w:vAlign w:val="center"/>
            <w:tcMar>
              <w:top w:w="100" w:type="dxa"/>
              <w:start w:w="100" w:type="dxa"/>
              <w:bottom w:w="100" w:type="dxa"/>
              <w:end w:w="100" w:type="dxa"/>
            </w:tcMar>
          </w:tcPr>
          <w:p>
            <w:pPr>
              <w:spacing w:after="0"/>
            </w:pPr>
            <w:r>
              <w:rPr>
                <w:rFonts w:ascii="Aptos" w:hAnsi="Aptos"/>
                <w:sz w:val="18"/>
              </w:rPr>
              <w:t>Liste des pièces et données réellement utilisées.</w:t>
            </w:r>
          </w:p>
        </w:tc>
      </w:tr>
      <w:tr>
        <w:tc>
          <w:tcPr>
            <w:tcW w:type="dxa" w:w="2880"/>
            <w:vAlign w:val="center"/>
            <w:tcMar>
              <w:top w:w="100" w:type="dxa"/>
              <w:start w:w="100" w:type="dxa"/>
              <w:bottom w:w="100" w:type="dxa"/>
              <w:end w:w="100" w:type="dxa"/>
            </w:tcMar>
          </w:tcPr>
          <w:p>
            <w:pPr>
              <w:spacing w:after="0"/>
            </w:pPr>
            <w:r>
              <w:rPr>
                <w:rFonts w:ascii="Aptos" w:hAnsi="Aptos"/>
                <w:sz w:val="18"/>
              </w:rPr>
              <w:t>Production IA</w:t>
            </w:r>
          </w:p>
        </w:tc>
        <w:tc>
          <w:tcPr>
            <w:tcW w:type="dxa" w:w="7920"/>
            <w:vAlign w:val="center"/>
            <w:tcMar>
              <w:top w:w="100" w:type="dxa"/>
              <w:start w:w="100" w:type="dxa"/>
              <w:bottom w:w="100" w:type="dxa"/>
              <w:end w:w="100" w:type="dxa"/>
            </w:tcMar>
          </w:tcPr>
          <w:p>
            <w:pPr>
              <w:spacing w:after="0"/>
            </w:pPr>
            <w:r>
              <w:rPr>
                <w:rFonts w:ascii="Aptos" w:hAnsi="Aptos"/>
                <w:sz w:val="18"/>
              </w:rPr>
              <w:t>Constats, scénarios, tableaux ou synthèses générés.</w:t>
            </w:r>
          </w:p>
        </w:tc>
      </w:tr>
      <w:tr>
        <w:tc>
          <w:tcPr>
            <w:tcW w:type="dxa" w:w="2880"/>
            <w:vAlign w:val="center"/>
            <w:tcMar>
              <w:top w:w="100" w:type="dxa"/>
              <w:start w:w="100" w:type="dxa"/>
              <w:bottom w:w="100" w:type="dxa"/>
              <w:end w:w="100" w:type="dxa"/>
            </w:tcMar>
          </w:tcPr>
          <w:p>
            <w:pPr>
              <w:spacing w:after="0"/>
            </w:pPr>
            <w:r>
              <w:rPr>
                <w:rFonts w:ascii="Aptos" w:hAnsi="Aptos"/>
                <w:sz w:val="18"/>
              </w:rPr>
              <w:t>Vérifications humaines</w:t>
            </w:r>
          </w:p>
        </w:tc>
        <w:tc>
          <w:tcPr>
            <w:tcW w:type="dxa" w:w="7920"/>
            <w:vAlign w:val="center"/>
            <w:tcMar>
              <w:top w:w="100" w:type="dxa"/>
              <w:start w:w="100" w:type="dxa"/>
              <w:bottom w:w="100" w:type="dxa"/>
              <w:end w:w="100" w:type="dxa"/>
            </w:tcMar>
          </w:tcPr>
          <w:p>
            <w:pPr>
              <w:spacing w:after="0"/>
            </w:pPr>
            <w:r>
              <w:rPr>
                <w:rFonts w:ascii="Aptos" w:hAnsi="Aptos"/>
                <w:sz w:val="18"/>
              </w:rPr>
              <w:t>Faits, chiffres et références confirmés.</w:t>
            </w:r>
          </w:p>
        </w:tc>
      </w:tr>
      <w:tr>
        <w:tc>
          <w:tcPr>
            <w:tcW w:type="dxa" w:w="2880"/>
            <w:vAlign w:val="center"/>
            <w:tcMar>
              <w:top w:w="100" w:type="dxa"/>
              <w:start w:w="100" w:type="dxa"/>
              <w:bottom w:w="100" w:type="dxa"/>
              <w:end w:w="100" w:type="dxa"/>
            </w:tcMar>
          </w:tcPr>
          <w:p>
            <w:pPr>
              <w:spacing w:after="0"/>
            </w:pPr>
            <w:r>
              <w:rPr>
                <w:rFonts w:ascii="Aptos" w:hAnsi="Aptos"/>
                <w:sz w:val="18"/>
              </w:rPr>
              <w:t>Rejets / corrections</w:t>
            </w:r>
          </w:p>
        </w:tc>
        <w:tc>
          <w:tcPr>
            <w:tcW w:type="dxa" w:w="7920"/>
            <w:vAlign w:val="center"/>
            <w:tcMar>
              <w:top w:w="100" w:type="dxa"/>
              <w:start w:w="100" w:type="dxa"/>
              <w:bottom w:w="100" w:type="dxa"/>
              <w:end w:w="100" w:type="dxa"/>
            </w:tcMar>
          </w:tcPr>
          <w:p>
            <w:pPr>
              <w:spacing w:after="0"/>
            </w:pPr>
            <w:r>
              <w:rPr>
                <w:rFonts w:ascii="Aptos" w:hAnsi="Aptos"/>
                <w:sz w:val="18"/>
              </w:rPr>
              <w:t>Hallucinations, erreurs, biais, causalités non établies.</w:t>
            </w:r>
          </w:p>
        </w:tc>
      </w:tr>
      <w:tr>
        <w:tc>
          <w:tcPr>
            <w:tcW w:type="dxa" w:w="2880"/>
            <w:vAlign w:val="center"/>
            <w:tcMar>
              <w:top w:w="100" w:type="dxa"/>
              <w:start w:w="100" w:type="dxa"/>
              <w:bottom w:w="100" w:type="dxa"/>
              <w:end w:w="100" w:type="dxa"/>
            </w:tcMar>
          </w:tcPr>
          <w:p>
            <w:pPr>
              <w:spacing w:after="0"/>
            </w:pPr>
            <w:r>
              <w:rPr>
                <w:rFonts w:ascii="Aptos" w:hAnsi="Aptos"/>
                <w:sz w:val="18"/>
              </w:rPr>
              <w:t>Décision finale</w:t>
            </w:r>
          </w:p>
        </w:tc>
        <w:tc>
          <w:tcPr>
            <w:tcW w:type="dxa" w:w="7920"/>
            <w:vAlign w:val="center"/>
            <w:tcMar>
              <w:top w:w="100" w:type="dxa"/>
              <w:start w:w="100" w:type="dxa"/>
              <w:bottom w:w="100" w:type="dxa"/>
              <w:end w:w="100" w:type="dxa"/>
            </w:tcMar>
          </w:tcPr>
          <w:p>
            <w:pPr>
              <w:spacing w:after="0"/>
            </w:pPr>
            <w:r>
              <w:rPr>
                <w:rFonts w:ascii="Aptos" w:hAnsi="Aptos"/>
                <w:sz w:val="18"/>
              </w:rPr>
              <w:t>Arbitrage de l’autorité compétente.</w:t>
            </w:r>
          </w:p>
        </w:tc>
      </w:tr>
      <w:tr>
        <w:tc>
          <w:tcPr>
            <w:tcW w:type="dxa" w:w="2880"/>
            <w:vAlign w:val="center"/>
            <w:tcMar>
              <w:top w:w="100" w:type="dxa"/>
              <w:start w:w="100" w:type="dxa"/>
              <w:bottom w:w="100" w:type="dxa"/>
              <w:end w:w="100" w:type="dxa"/>
            </w:tcMar>
          </w:tcPr>
          <w:p>
            <w:pPr>
              <w:spacing w:after="0"/>
            </w:pPr>
            <w:r>
              <w:rPr>
                <w:rFonts w:ascii="Aptos" w:hAnsi="Aptos"/>
                <w:sz w:val="18"/>
              </w:rPr>
              <w:t>Garde-fous</w:t>
            </w:r>
          </w:p>
        </w:tc>
        <w:tc>
          <w:tcPr>
            <w:tcW w:type="dxa" w:w="7920"/>
            <w:vAlign w:val="center"/>
            <w:tcMar>
              <w:top w:w="100" w:type="dxa"/>
              <w:start w:w="100" w:type="dxa"/>
              <w:bottom w:w="100" w:type="dxa"/>
              <w:end w:w="100" w:type="dxa"/>
            </w:tcMar>
          </w:tcPr>
          <w:p>
            <w:pPr>
              <w:spacing w:after="0"/>
            </w:pPr>
            <w:r>
              <w:rPr>
                <w:rFonts w:ascii="Aptos" w:hAnsi="Aptos"/>
                <w:sz w:val="18"/>
              </w:rPr>
              <w:t>Restrictions ou améliorations pour les usages futurs.</w:t>
            </w:r>
          </w:p>
        </w:tc>
      </w:tr>
    </w:tbl>
    <w:p/>
    <w:p>
      <w:pPr>
        <w:pStyle w:val="Heading1"/>
        <w:keepNext/>
      </w:pPr>
      <w:r>
        <w:t>8. Cas pratique complet : comité de performance — T3-2026</w:t>
      </w:r>
    </w:p>
    <w:p>
      <w:r>
        <w:t>Le cas suivant est une simulation pédagogique. L’agence doit piloter un programme d’accès aux services essentiels. Les chiffres sont volontairement contradictoires afin d’obliger le comité à distinguer dépense, résultat, risque, causalité et responsabilité.</w:t>
      </w:r>
    </w:p>
    <w:p>
      <w:pPr>
        <w:jc w:val="center"/>
      </w:pPr>
      <w:r>
        <w:drawing>
          <wp:inline xmlns:a="http://schemas.openxmlformats.org/drawingml/2006/main" xmlns:pic="http://schemas.openxmlformats.org/drawingml/2006/picture">
            <wp:extent cx="5669280" cy="3109717"/>
            <wp:docPr id="5" name="Picture 5"/>
            <wp:cNvGraphicFramePr>
              <a:graphicFrameLocks noChangeAspect="1"/>
            </wp:cNvGraphicFramePr>
            <a:graphic>
              <a:graphicData uri="http://schemas.openxmlformats.org/drawingml/2006/picture">
                <pic:pic>
                  <pic:nvPicPr>
                    <pic:cNvPr id="0" name="case.png"/>
                    <pic:cNvPicPr/>
                  </pic:nvPicPr>
                  <pic:blipFill>
                    <a:blip r:embed="rId12"/>
                    <a:stretch>
                      <a:fillRect/>
                    </a:stretch>
                  </pic:blipFill>
                  <pic:spPr>
                    <a:xfrm>
                      <a:off x="0" y="0"/>
                      <a:ext cx="5669280" cy="3109717"/>
                    </a:xfrm>
                    <a:prstGeom prst="rect"/>
                  </pic:spPr>
                </pic:pic>
              </a:graphicData>
            </a:graphic>
          </wp:inline>
        </w:drawing>
      </w:r>
    </w:p>
    <w:p>
      <w:pPr>
        <w:pStyle w:val="Caption"/>
        <w:jc w:val="center"/>
      </w:pPr>
      <w:r>
        <w:t>Figure 5 — Données de simulation : 96 % d’exécution budgétaire pour 58 % de couverture, face à une cible de 85 %.</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2160"/>
            <w:shd w:fill="17365D"/>
            <w:vAlign w:val="center"/>
            <w:tcMar>
              <w:top w:w="120" w:type="dxa"/>
              <w:start w:w="110" w:type="dxa"/>
              <w:bottom w:w="120" w:type="dxa"/>
              <w:end w:w="110" w:type="dxa"/>
            </w:tcMar>
          </w:tcPr>
          <w:p>
            <w:pPr>
              <w:jc w:val="center"/>
            </w:pPr>
            <w:r>
              <w:rPr>
                <w:b/>
                <w:color w:val="FFFFFF"/>
                <w:sz w:val="17"/>
              </w:rPr>
              <w:t>Signal</w:t>
            </w:r>
          </w:p>
        </w:tc>
        <w:tc>
          <w:tcPr>
            <w:tcW w:type="dxa" w:w="3456"/>
            <w:shd w:fill="17365D"/>
            <w:vAlign w:val="center"/>
            <w:tcMar>
              <w:top w:w="120" w:type="dxa"/>
              <w:start w:w="110" w:type="dxa"/>
              <w:bottom w:w="120" w:type="dxa"/>
              <w:end w:w="110" w:type="dxa"/>
            </w:tcMar>
          </w:tcPr>
          <w:p>
            <w:pPr>
              <w:jc w:val="center"/>
            </w:pPr>
            <w:r>
              <w:rPr>
                <w:b/>
                <w:color w:val="FFFFFF"/>
                <w:sz w:val="17"/>
              </w:rPr>
              <w:t>Donnée du cas</w:t>
            </w:r>
          </w:p>
        </w:tc>
        <w:tc>
          <w:tcPr>
            <w:tcW w:type="dxa" w:w="5184"/>
            <w:shd w:fill="17365D"/>
            <w:vAlign w:val="center"/>
            <w:tcMar>
              <w:top w:w="120" w:type="dxa"/>
              <w:start w:w="110" w:type="dxa"/>
              <w:bottom w:w="120" w:type="dxa"/>
              <w:end w:w="110" w:type="dxa"/>
            </w:tcMar>
          </w:tcPr>
          <w:p>
            <w:pPr>
              <w:jc w:val="center"/>
            </w:pPr>
            <w:r>
              <w:rPr>
                <w:b/>
                <w:color w:val="FFFFFF"/>
                <w:sz w:val="17"/>
              </w:rPr>
              <w:t>Interprétation correcte</w:t>
            </w:r>
          </w:p>
        </w:tc>
      </w:tr>
      <w:tr>
        <w:tc>
          <w:tcPr>
            <w:tcW w:type="dxa" w:w="2160"/>
            <w:vAlign w:val="center"/>
            <w:tcMar>
              <w:top w:w="100" w:type="dxa"/>
              <w:start w:w="100" w:type="dxa"/>
              <w:bottom w:w="100" w:type="dxa"/>
              <w:end w:w="100" w:type="dxa"/>
            </w:tcMar>
          </w:tcPr>
          <w:p>
            <w:pPr>
              <w:spacing w:after="0"/>
            </w:pPr>
            <w:r>
              <w:rPr>
                <w:rFonts w:ascii="Aptos" w:hAnsi="Aptos"/>
                <w:sz w:val="17"/>
              </w:rPr>
              <w:t>Exécution financière</w:t>
            </w:r>
          </w:p>
        </w:tc>
        <w:tc>
          <w:tcPr>
            <w:tcW w:type="dxa" w:w="3456"/>
            <w:vAlign w:val="center"/>
            <w:tcMar>
              <w:top w:w="100" w:type="dxa"/>
              <w:start w:w="100" w:type="dxa"/>
              <w:bottom w:w="100" w:type="dxa"/>
              <w:end w:w="100" w:type="dxa"/>
            </w:tcMar>
          </w:tcPr>
          <w:p>
            <w:pPr>
              <w:spacing w:after="0"/>
            </w:pPr>
            <w:r>
              <w:rPr>
                <w:rFonts w:ascii="Aptos" w:hAnsi="Aptos"/>
                <w:sz w:val="17"/>
              </w:rPr>
              <w:t>96 % des CP</w:t>
            </w:r>
          </w:p>
        </w:tc>
        <w:tc>
          <w:tcPr>
            <w:tcW w:type="dxa" w:w="5184"/>
            <w:vAlign w:val="center"/>
            <w:tcMar>
              <w:top w:w="100" w:type="dxa"/>
              <w:start w:w="100" w:type="dxa"/>
              <w:bottom w:w="100" w:type="dxa"/>
              <w:end w:w="100" w:type="dxa"/>
            </w:tcMar>
          </w:tcPr>
          <w:p>
            <w:pPr>
              <w:spacing w:after="0"/>
            </w:pPr>
            <w:r>
              <w:rPr>
                <w:rFonts w:ascii="Aptos" w:hAnsi="Aptos"/>
                <w:sz w:val="17"/>
              </w:rPr>
              <w:t>Bonne consommation financière, sans preuve suffisante de performance globale.</w:t>
            </w:r>
          </w:p>
        </w:tc>
      </w:tr>
      <w:tr>
        <w:tc>
          <w:tcPr>
            <w:tcW w:type="dxa" w:w="2160"/>
            <w:vAlign w:val="center"/>
            <w:tcMar>
              <w:top w:w="100" w:type="dxa"/>
              <w:start w:w="100" w:type="dxa"/>
              <w:bottom w:w="100" w:type="dxa"/>
              <w:end w:w="100" w:type="dxa"/>
            </w:tcMar>
          </w:tcPr>
          <w:p>
            <w:pPr>
              <w:spacing w:after="0"/>
            </w:pPr>
            <w:r>
              <w:rPr>
                <w:rFonts w:ascii="Aptos" w:hAnsi="Aptos"/>
                <w:sz w:val="17"/>
              </w:rPr>
              <w:t>Couverture usagers</w:t>
            </w:r>
          </w:p>
        </w:tc>
        <w:tc>
          <w:tcPr>
            <w:tcW w:type="dxa" w:w="3456"/>
            <w:vAlign w:val="center"/>
            <w:tcMar>
              <w:top w:w="100" w:type="dxa"/>
              <w:start w:w="100" w:type="dxa"/>
              <w:bottom w:w="100" w:type="dxa"/>
              <w:end w:w="100" w:type="dxa"/>
            </w:tcMar>
          </w:tcPr>
          <w:p>
            <w:pPr>
              <w:spacing w:after="0"/>
            </w:pPr>
            <w:r>
              <w:rPr>
                <w:rFonts w:ascii="Aptos" w:hAnsi="Aptos"/>
                <w:sz w:val="17"/>
              </w:rPr>
              <w:t>58 % pour une cible de 85 %</w:t>
            </w:r>
          </w:p>
        </w:tc>
        <w:tc>
          <w:tcPr>
            <w:tcW w:type="dxa" w:w="5184"/>
            <w:vAlign w:val="center"/>
            <w:tcMar>
              <w:top w:w="100" w:type="dxa"/>
              <w:start w:w="100" w:type="dxa"/>
              <w:bottom w:w="100" w:type="dxa"/>
              <w:end w:w="100" w:type="dxa"/>
            </w:tcMar>
          </w:tcPr>
          <w:p>
            <w:pPr>
              <w:spacing w:after="0"/>
            </w:pPr>
            <w:r>
              <w:rPr>
                <w:rFonts w:ascii="Aptos" w:hAnsi="Aptos"/>
                <w:sz w:val="17"/>
              </w:rPr>
              <w:t>Écart de résultat majeur à expliquer.</w:t>
            </w:r>
          </w:p>
        </w:tc>
      </w:tr>
      <w:tr>
        <w:tc>
          <w:tcPr>
            <w:tcW w:type="dxa" w:w="2160"/>
            <w:vAlign w:val="center"/>
            <w:tcMar>
              <w:top w:w="100" w:type="dxa"/>
              <w:start w:w="100" w:type="dxa"/>
              <w:bottom w:w="100" w:type="dxa"/>
              <w:end w:w="100" w:type="dxa"/>
            </w:tcMar>
          </w:tcPr>
          <w:p>
            <w:pPr>
              <w:spacing w:after="0"/>
            </w:pPr>
            <w:r>
              <w:rPr>
                <w:rFonts w:ascii="Aptos" w:hAnsi="Aptos"/>
                <w:sz w:val="17"/>
              </w:rPr>
              <w:t>Réclamations</w:t>
            </w:r>
          </w:p>
        </w:tc>
        <w:tc>
          <w:tcPr>
            <w:tcW w:type="dxa" w:w="3456"/>
            <w:vAlign w:val="center"/>
            <w:tcMar>
              <w:top w:w="100" w:type="dxa"/>
              <w:start w:w="100" w:type="dxa"/>
              <w:bottom w:w="100" w:type="dxa"/>
              <w:end w:w="100" w:type="dxa"/>
            </w:tcMar>
          </w:tcPr>
          <w:p>
            <w:pPr>
              <w:spacing w:after="0"/>
            </w:pPr>
            <w:r>
              <w:rPr>
                <w:rFonts w:ascii="Aptos" w:hAnsi="Aptos"/>
                <w:sz w:val="17"/>
              </w:rPr>
              <w:t>+35 %</w:t>
            </w:r>
          </w:p>
        </w:tc>
        <w:tc>
          <w:tcPr>
            <w:tcW w:type="dxa" w:w="5184"/>
            <w:vAlign w:val="center"/>
            <w:tcMar>
              <w:top w:w="100" w:type="dxa"/>
              <w:start w:w="100" w:type="dxa"/>
              <w:bottom w:w="100" w:type="dxa"/>
              <w:end w:w="100" w:type="dxa"/>
            </w:tcMar>
          </w:tcPr>
          <w:p>
            <w:pPr>
              <w:spacing w:after="0"/>
            </w:pPr>
            <w:r>
              <w:rPr>
                <w:rFonts w:ascii="Aptos" w:hAnsi="Aptos"/>
                <w:sz w:val="17"/>
              </w:rPr>
              <w:t>Signal de dégradation du service, à documenter.</w:t>
            </w:r>
          </w:p>
        </w:tc>
      </w:tr>
      <w:tr>
        <w:tc>
          <w:tcPr>
            <w:tcW w:type="dxa" w:w="2160"/>
            <w:vAlign w:val="center"/>
            <w:tcMar>
              <w:top w:w="100" w:type="dxa"/>
              <w:start w:w="100" w:type="dxa"/>
              <w:bottom w:w="100" w:type="dxa"/>
              <w:end w:w="100" w:type="dxa"/>
            </w:tcMar>
          </w:tcPr>
          <w:p>
            <w:pPr>
              <w:spacing w:after="0"/>
            </w:pPr>
            <w:r>
              <w:rPr>
                <w:rFonts w:ascii="Aptos" w:hAnsi="Aptos"/>
                <w:sz w:val="17"/>
              </w:rPr>
              <w:t>Risque fournisseur</w:t>
            </w:r>
          </w:p>
        </w:tc>
        <w:tc>
          <w:tcPr>
            <w:tcW w:type="dxa" w:w="3456"/>
            <w:vAlign w:val="center"/>
            <w:tcMar>
              <w:top w:w="100" w:type="dxa"/>
              <w:start w:w="100" w:type="dxa"/>
              <w:bottom w:w="100" w:type="dxa"/>
              <w:end w:w="100" w:type="dxa"/>
            </w:tcMar>
          </w:tcPr>
          <w:p>
            <w:pPr>
              <w:spacing w:after="0"/>
            </w:pPr>
            <w:r>
              <w:rPr>
                <w:rFonts w:ascii="Aptos" w:hAnsi="Aptos"/>
                <w:sz w:val="17"/>
              </w:rPr>
              <w:t>Prestataire unique = 80 % des prestations ; liquidité critique</w:t>
            </w:r>
          </w:p>
        </w:tc>
        <w:tc>
          <w:tcPr>
            <w:tcW w:type="dxa" w:w="5184"/>
            <w:vAlign w:val="center"/>
            <w:tcMar>
              <w:top w:w="100" w:type="dxa"/>
              <w:start w:w="100" w:type="dxa"/>
              <w:bottom w:w="100" w:type="dxa"/>
              <w:end w:w="100" w:type="dxa"/>
            </w:tcMar>
          </w:tcPr>
          <w:p>
            <w:pPr>
              <w:spacing w:after="0"/>
            </w:pPr>
            <w:r>
              <w:rPr>
                <w:rFonts w:ascii="Aptos" w:hAnsi="Aptos"/>
                <w:sz w:val="17"/>
              </w:rPr>
              <w:t>Vulnérabilité de dépendance et de continuité.</w:t>
            </w:r>
          </w:p>
        </w:tc>
      </w:tr>
      <w:tr>
        <w:tc>
          <w:tcPr>
            <w:tcW w:type="dxa" w:w="2160"/>
            <w:vAlign w:val="center"/>
            <w:tcMar>
              <w:top w:w="100" w:type="dxa"/>
              <w:start w:w="100" w:type="dxa"/>
              <w:bottom w:w="100" w:type="dxa"/>
              <w:end w:w="100" w:type="dxa"/>
            </w:tcMar>
          </w:tcPr>
          <w:p>
            <w:pPr>
              <w:spacing w:after="0"/>
            </w:pPr>
            <w:r>
              <w:rPr>
                <w:rFonts w:ascii="Aptos" w:hAnsi="Aptos"/>
                <w:sz w:val="17"/>
              </w:rPr>
              <w:t>SI</w:t>
            </w:r>
          </w:p>
        </w:tc>
        <w:tc>
          <w:tcPr>
            <w:tcW w:type="dxa" w:w="3456"/>
            <w:vAlign w:val="center"/>
            <w:tcMar>
              <w:top w:w="100" w:type="dxa"/>
              <w:start w:w="100" w:type="dxa"/>
              <w:bottom w:w="100" w:type="dxa"/>
              <w:end w:w="100" w:type="dxa"/>
            </w:tcMar>
          </w:tcPr>
          <w:p>
            <w:pPr>
              <w:spacing w:after="0"/>
            </w:pPr>
            <w:r>
              <w:rPr>
                <w:rFonts w:ascii="Aptos" w:hAnsi="Aptos"/>
                <w:sz w:val="17"/>
              </w:rPr>
              <w:t>Pannes répétées</w:t>
            </w:r>
          </w:p>
        </w:tc>
        <w:tc>
          <w:tcPr>
            <w:tcW w:type="dxa" w:w="5184"/>
            <w:vAlign w:val="center"/>
            <w:tcMar>
              <w:top w:w="100" w:type="dxa"/>
              <w:start w:w="100" w:type="dxa"/>
              <w:bottom w:w="100" w:type="dxa"/>
              <w:end w:w="100" w:type="dxa"/>
            </w:tcMar>
          </w:tcPr>
          <w:p>
            <w:pPr>
              <w:spacing w:after="0"/>
            </w:pPr>
            <w:r>
              <w:rPr>
                <w:rFonts w:ascii="Aptos" w:hAnsi="Aptos"/>
                <w:sz w:val="17"/>
              </w:rPr>
              <w:t>Risque de continuité et de fiabilité des données.</w:t>
            </w:r>
          </w:p>
        </w:tc>
      </w:tr>
    </w:tbl>
    <w:p/>
    <w:p>
      <w:pPr>
        <w:pStyle w:val="Heading2"/>
        <w:keepNext/>
      </w:pPr>
      <w:r>
        <w:t>8.1 Audit critique de la note IA</w:t>
      </w:r>
    </w:p>
    <w:p>
      <w:r>
        <w:t>La note automatisée impute directement la stagnation au Directeur des opérations et propose d’automatiser l’attribution des marchés. Le comité doit rejeter deux raccourcis :</w:t>
      </w:r>
    </w:p>
    <w:p>
      <w:pPr>
        <w:pStyle w:val="ListBullet"/>
      </w:pPr>
      <w:r>
        <w:t>une corrélation ou un écart d’indicateur ne prouve pas une faute individuelle ; la causalité doit être instruite contradictoirement ;</w:t>
      </w:r>
    </w:p>
    <w:p>
      <w:pPr>
        <w:pStyle w:val="ListBullet"/>
      </w:pPr>
      <w:r>
        <w:t>l’automatisation d’une décision juridiquement sensible ne peut être déduite d’une simple analyse de performance ; le droit applicable et la responsabilité de l’autorité compétente demeurent déterminants.</w:t>
      </w:r>
    </w:p>
    <w:tbl>
      <w:tblPr>
        <w:tblW w:type="auto" w:w="0"/>
        <w:jc w:val="center"/>
        <w:tblLook w:firstColumn="1" w:firstRow="1" w:lastColumn="0" w:lastRow="0" w:noHBand="0" w:noVBand="1" w:val="04A0"/>
      </w:tblPr>
      <w:tblGrid>
        <w:gridCol w:w="10080"/>
      </w:tblGrid>
      <w:tr>
        <w:trPr>
          <w:cantSplit/>
        </w:trPr>
        <w:tc>
          <w:tcPr>
            <w:tcW w:type="dxa" w:w="10080"/>
            <w:shd w:fill="E2F0D9"/>
            <w:tcMar>
              <w:top w:w="140" w:type="dxa"/>
              <w:start w:w="160" w:type="dxa"/>
              <w:bottom w:w="140" w:type="dxa"/>
              <w:end w:w="160" w:type="dxa"/>
            </w:tcMar>
          </w:tcPr>
          <w:p>
            <w:r>
              <w:rPr>
                <w:b/>
                <w:color w:val="1F4E79"/>
                <w:sz w:val="21"/>
              </w:rPr>
              <w:t xml:space="preserve">Scepticisme professionnel  </w:t>
            </w:r>
            <w:r>
              <w:rPr>
                <w:sz w:val="21"/>
              </w:rPr>
              <w:t>Le rôle du manager n’est pas de croire ou de rejeter l’IA par principe, mais de demander : quelle source ? quelle règle ? quelle hypothèse ? quelle preuve ? quelle alternative ? qui reste responsable ?</w:t>
            </w:r>
          </w:p>
        </w:tc>
      </w:tr>
    </w:tbl>
    <w:p/>
    <w:p>
      <w:pPr>
        <w:pStyle w:val="Heading2"/>
        <w:keepNext/>
      </w:pPr>
      <w:r>
        <w:t>8.2 Diagnostic capacitaire rapide</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744"/>
            <w:shd w:fill="17365D"/>
            <w:vAlign w:val="center"/>
            <w:tcMar>
              <w:top w:w="120" w:type="dxa"/>
              <w:start w:w="110" w:type="dxa"/>
              <w:bottom w:w="120" w:type="dxa"/>
              <w:end w:w="110" w:type="dxa"/>
            </w:tcMar>
          </w:tcPr>
          <w:p>
            <w:pPr>
              <w:jc w:val="center"/>
            </w:pPr>
            <w:r>
              <w:rPr>
                <w:b/>
                <w:color w:val="FFFFFF"/>
                <w:sz w:val="18"/>
              </w:rPr>
              <w:t>Dimension</w:t>
            </w:r>
          </w:p>
        </w:tc>
        <w:tc>
          <w:tcPr>
            <w:tcW w:type="dxa" w:w="2304"/>
            <w:shd w:fill="17365D"/>
            <w:vAlign w:val="center"/>
            <w:tcMar>
              <w:top w:w="120" w:type="dxa"/>
              <w:start w:w="110" w:type="dxa"/>
              <w:bottom w:w="120" w:type="dxa"/>
              <w:end w:w="110" w:type="dxa"/>
            </w:tcMar>
          </w:tcPr>
          <w:p>
            <w:pPr>
              <w:jc w:val="center"/>
            </w:pPr>
            <w:r>
              <w:rPr>
                <w:b/>
                <w:color w:val="FFFFFF"/>
                <w:sz w:val="18"/>
              </w:rPr>
              <w:t>Niveau du cas</w:t>
            </w:r>
          </w:p>
        </w:tc>
        <w:tc>
          <w:tcPr>
            <w:tcW w:type="dxa" w:w="4752"/>
            <w:shd w:fill="17365D"/>
            <w:vAlign w:val="center"/>
            <w:tcMar>
              <w:top w:w="120" w:type="dxa"/>
              <w:start w:w="110" w:type="dxa"/>
              <w:bottom w:w="120" w:type="dxa"/>
              <w:end w:w="110" w:type="dxa"/>
            </w:tcMar>
          </w:tcPr>
          <w:p>
            <w:pPr>
              <w:jc w:val="center"/>
            </w:pPr>
            <w:r>
              <w:rPr>
                <w:b/>
                <w:color w:val="FFFFFF"/>
                <w:sz w:val="18"/>
              </w:rPr>
              <w:t>Conséquence</w:t>
            </w:r>
          </w:p>
        </w:tc>
      </w:tr>
      <w:tr>
        <w:tc>
          <w:tcPr>
            <w:tcW w:type="dxa" w:w="3744"/>
            <w:vAlign w:val="center"/>
            <w:tcMar>
              <w:top w:w="100" w:type="dxa"/>
              <w:start w:w="100" w:type="dxa"/>
              <w:bottom w:w="100" w:type="dxa"/>
              <w:end w:w="100" w:type="dxa"/>
            </w:tcMar>
          </w:tcPr>
          <w:p>
            <w:pPr>
              <w:spacing w:after="0"/>
            </w:pPr>
            <w:r>
              <w:rPr>
                <w:rFonts w:ascii="Aptos" w:hAnsi="Aptos"/>
                <w:sz w:val="18"/>
              </w:rPr>
              <w:t>ICAP® 8 — Systèmes d’information</w:t>
            </w:r>
          </w:p>
        </w:tc>
        <w:tc>
          <w:tcPr>
            <w:tcW w:type="dxa" w:w="2304"/>
            <w:vAlign w:val="center"/>
            <w:tcMar>
              <w:top w:w="100" w:type="dxa"/>
              <w:start w:w="100" w:type="dxa"/>
              <w:bottom w:w="100" w:type="dxa"/>
              <w:end w:w="100" w:type="dxa"/>
            </w:tcMar>
          </w:tcPr>
          <w:p>
            <w:pPr>
              <w:spacing w:after="0"/>
            </w:pPr>
            <w:r>
              <w:rPr>
                <w:rFonts w:ascii="Aptos" w:hAnsi="Aptos"/>
                <w:sz w:val="18"/>
              </w:rPr>
              <w:t>L2 — Émergent</w:t>
            </w:r>
          </w:p>
        </w:tc>
        <w:tc>
          <w:tcPr>
            <w:tcW w:type="dxa" w:w="4752"/>
            <w:vAlign w:val="center"/>
            <w:tcMar>
              <w:top w:w="100" w:type="dxa"/>
              <w:start w:w="100" w:type="dxa"/>
              <w:bottom w:w="100" w:type="dxa"/>
              <w:end w:w="100" w:type="dxa"/>
            </w:tcMar>
          </w:tcPr>
          <w:p>
            <w:pPr>
              <w:spacing w:after="0"/>
            </w:pPr>
            <w:r>
              <w:rPr>
                <w:rFonts w:ascii="Aptos" w:hAnsi="Aptos"/>
                <w:sz w:val="18"/>
              </w:rPr>
              <w:t>Interopérabilité insuffisante et suivi temps réel fragilisé.</w:t>
            </w:r>
          </w:p>
        </w:tc>
      </w:tr>
      <w:tr>
        <w:tc>
          <w:tcPr>
            <w:tcW w:type="dxa" w:w="3744"/>
            <w:vAlign w:val="center"/>
            <w:tcMar>
              <w:top w:w="100" w:type="dxa"/>
              <w:start w:w="100" w:type="dxa"/>
              <w:bottom w:w="100" w:type="dxa"/>
              <w:end w:w="100" w:type="dxa"/>
            </w:tcMar>
          </w:tcPr>
          <w:p>
            <w:pPr>
              <w:spacing w:after="0"/>
            </w:pPr>
            <w:r>
              <w:rPr>
                <w:rFonts w:ascii="Aptos" w:hAnsi="Aptos"/>
                <w:sz w:val="18"/>
              </w:rPr>
              <w:t>ICAP® 11 — Pilotage des risques</w:t>
            </w:r>
          </w:p>
        </w:tc>
        <w:tc>
          <w:tcPr>
            <w:tcW w:type="dxa" w:w="2304"/>
            <w:vAlign w:val="center"/>
            <w:tcMar>
              <w:top w:w="100" w:type="dxa"/>
              <w:start w:w="100" w:type="dxa"/>
              <w:bottom w:w="100" w:type="dxa"/>
              <w:end w:w="100" w:type="dxa"/>
            </w:tcMar>
          </w:tcPr>
          <w:p>
            <w:pPr>
              <w:spacing w:after="0"/>
            </w:pPr>
            <w:r>
              <w:rPr>
                <w:rFonts w:ascii="Aptos" w:hAnsi="Aptos"/>
                <w:sz w:val="18"/>
              </w:rPr>
              <w:t>L2 — Émergent</w:t>
            </w:r>
          </w:p>
        </w:tc>
        <w:tc>
          <w:tcPr>
            <w:tcW w:type="dxa" w:w="4752"/>
            <w:vAlign w:val="center"/>
            <w:tcMar>
              <w:top w:w="100" w:type="dxa"/>
              <w:start w:w="100" w:type="dxa"/>
              <w:bottom w:w="100" w:type="dxa"/>
              <w:end w:w="100" w:type="dxa"/>
            </w:tcMar>
          </w:tcPr>
          <w:p>
            <w:pPr>
              <w:spacing w:after="0"/>
            </w:pPr>
            <w:r>
              <w:rPr>
                <w:rFonts w:ascii="Aptos" w:hAnsi="Aptos"/>
                <w:sz w:val="18"/>
              </w:rPr>
              <w:t>Dépendance fournisseur insuffisamment anticipée.</w:t>
            </w:r>
          </w:p>
        </w:tc>
      </w:tr>
    </w:tbl>
    <w:p/>
    <w:p>
      <w:pPr>
        <w:pStyle w:val="Heading2"/>
        <w:keepNext/>
      </w:pPr>
      <w:r>
        <w:t>8.3 Arbitrage et plan d’action</w:t>
      </w:r>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trPr>
        <w:tc>
          <w:tcPr>
            <w:tcW w:type="dxa" w:w="4608"/>
            <w:shd w:fill="17365D"/>
            <w:vAlign w:val="center"/>
            <w:tcMar>
              <w:top w:w="120" w:type="dxa"/>
              <w:start w:w="110" w:type="dxa"/>
              <w:bottom w:w="120" w:type="dxa"/>
              <w:end w:w="110" w:type="dxa"/>
            </w:tcMar>
          </w:tcPr>
          <w:p>
            <w:pPr>
              <w:jc w:val="center"/>
            </w:pPr>
            <w:r>
              <w:rPr>
                <w:b/>
                <w:color w:val="FFFFFF"/>
                <w:sz w:val="16"/>
              </w:rPr>
              <w:t>Action</w:t>
            </w:r>
          </w:p>
        </w:tc>
        <w:tc>
          <w:tcPr>
            <w:tcW w:type="dxa" w:w="2016"/>
            <w:shd w:fill="17365D"/>
            <w:vAlign w:val="center"/>
            <w:tcMar>
              <w:top w:w="120" w:type="dxa"/>
              <w:start w:w="110" w:type="dxa"/>
              <w:bottom w:w="120" w:type="dxa"/>
              <w:end w:w="110" w:type="dxa"/>
            </w:tcMar>
          </w:tcPr>
          <w:p>
            <w:pPr>
              <w:jc w:val="center"/>
            </w:pPr>
            <w:r>
              <w:rPr>
                <w:b/>
                <w:color w:val="FFFFFF"/>
                <w:sz w:val="16"/>
              </w:rPr>
              <w:t>Responsable</w:t>
            </w:r>
          </w:p>
        </w:tc>
        <w:tc>
          <w:tcPr>
            <w:tcW w:type="dxa" w:w="1728"/>
            <w:shd w:fill="17365D"/>
            <w:vAlign w:val="center"/>
            <w:tcMar>
              <w:top w:w="120" w:type="dxa"/>
              <w:start w:w="110" w:type="dxa"/>
              <w:bottom w:w="120" w:type="dxa"/>
              <w:end w:w="110" w:type="dxa"/>
            </w:tcMar>
          </w:tcPr>
          <w:p>
            <w:pPr>
              <w:jc w:val="center"/>
            </w:pPr>
            <w:r>
              <w:rPr>
                <w:b/>
                <w:color w:val="FFFFFF"/>
                <w:sz w:val="16"/>
              </w:rPr>
              <w:t>Échéance</w:t>
            </w:r>
          </w:p>
        </w:tc>
        <w:tc>
          <w:tcPr>
            <w:tcW w:type="dxa" w:w="2880"/>
            <w:shd w:fill="17365D"/>
            <w:vAlign w:val="center"/>
            <w:tcMar>
              <w:top w:w="120" w:type="dxa"/>
              <w:start w:w="110" w:type="dxa"/>
              <w:bottom w:w="120" w:type="dxa"/>
              <w:end w:w="110" w:type="dxa"/>
            </w:tcMar>
          </w:tcPr>
          <w:p>
            <w:pPr>
              <w:jc w:val="center"/>
            </w:pPr>
            <w:r>
              <w:rPr>
                <w:b/>
                <w:color w:val="FFFFFF"/>
                <w:sz w:val="16"/>
              </w:rPr>
              <w:t>Preuve attendue</w:t>
            </w:r>
          </w:p>
        </w:tc>
      </w:tr>
      <w:tr>
        <w:tc>
          <w:tcPr>
            <w:tcW w:type="dxa" w:w="4608"/>
            <w:vAlign w:val="center"/>
            <w:tcMar>
              <w:top w:w="100" w:type="dxa"/>
              <w:start w:w="100" w:type="dxa"/>
              <w:bottom w:w="100" w:type="dxa"/>
              <w:end w:w="100" w:type="dxa"/>
            </w:tcMar>
          </w:tcPr>
          <w:p>
            <w:pPr>
              <w:spacing w:after="0"/>
            </w:pPr>
            <w:r>
              <w:rPr>
                <w:rFonts w:ascii="Aptos" w:hAnsi="Aptos"/>
                <w:sz w:val="16"/>
              </w:rPr>
              <w:t>Restructurer/allotir les prestations afin de réduire la dépendance au fournisseur principal.</w:t>
            </w:r>
          </w:p>
        </w:tc>
        <w:tc>
          <w:tcPr>
            <w:tcW w:type="dxa" w:w="2016"/>
            <w:vAlign w:val="center"/>
            <w:tcMar>
              <w:top w:w="100" w:type="dxa"/>
              <w:start w:w="100" w:type="dxa"/>
              <w:bottom w:w="100" w:type="dxa"/>
              <w:end w:w="100" w:type="dxa"/>
            </w:tcMar>
          </w:tcPr>
          <w:p>
            <w:pPr>
              <w:spacing w:after="0"/>
            </w:pPr>
            <w:r>
              <w:rPr>
                <w:rFonts w:ascii="Aptos" w:hAnsi="Aptos"/>
                <w:sz w:val="16"/>
              </w:rPr>
              <w:t>Direction des marchés</w:t>
            </w:r>
          </w:p>
        </w:tc>
        <w:tc>
          <w:tcPr>
            <w:tcW w:type="dxa" w:w="1728"/>
            <w:vAlign w:val="center"/>
            <w:tcMar>
              <w:top w:w="100" w:type="dxa"/>
              <w:start w:w="100" w:type="dxa"/>
              <w:bottom w:w="100" w:type="dxa"/>
              <w:end w:w="100" w:type="dxa"/>
            </w:tcMar>
          </w:tcPr>
          <w:p>
            <w:pPr>
              <w:spacing w:after="0"/>
            </w:pPr>
            <w:r>
              <w:rPr>
                <w:rFonts w:ascii="Aptos" w:hAnsi="Aptos"/>
                <w:sz w:val="16"/>
              </w:rPr>
              <w:t>15 déc. 2026</w:t>
            </w:r>
          </w:p>
        </w:tc>
        <w:tc>
          <w:tcPr>
            <w:tcW w:type="dxa" w:w="2880"/>
            <w:vAlign w:val="center"/>
            <w:tcMar>
              <w:top w:w="100" w:type="dxa"/>
              <w:start w:w="100" w:type="dxa"/>
              <w:bottom w:w="100" w:type="dxa"/>
              <w:end w:w="100" w:type="dxa"/>
            </w:tcMar>
          </w:tcPr>
          <w:p>
            <w:pPr>
              <w:spacing w:after="0"/>
            </w:pPr>
            <w:r>
              <w:rPr>
                <w:rFonts w:ascii="Aptos" w:hAnsi="Aptos"/>
                <w:sz w:val="16"/>
              </w:rPr>
              <w:t>Dossier de consultation / acte de lancement validé.</w:t>
            </w:r>
          </w:p>
        </w:tc>
      </w:tr>
      <w:tr>
        <w:tc>
          <w:tcPr>
            <w:tcW w:type="dxa" w:w="4608"/>
            <w:vAlign w:val="center"/>
            <w:tcMar>
              <w:top w:w="100" w:type="dxa"/>
              <w:start w:w="100" w:type="dxa"/>
              <w:bottom w:w="100" w:type="dxa"/>
              <w:end w:w="100" w:type="dxa"/>
            </w:tcMar>
          </w:tcPr>
          <w:p>
            <w:pPr>
              <w:spacing w:after="0"/>
            </w:pPr>
            <w:r>
              <w:rPr>
                <w:rFonts w:ascii="Aptos" w:hAnsi="Aptos"/>
                <w:sz w:val="16"/>
              </w:rPr>
              <w:t>Sécuriser le SI et mettre en place une alerte KRI sur les prestataires.</w:t>
            </w:r>
          </w:p>
        </w:tc>
        <w:tc>
          <w:tcPr>
            <w:tcW w:type="dxa" w:w="2016"/>
            <w:vAlign w:val="center"/>
            <w:tcMar>
              <w:top w:w="100" w:type="dxa"/>
              <w:start w:w="100" w:type="dxa"/>
              <w:bottom w:w="100" w:type="dxa"/>
              <w:end w:w="100" w:type="dxa"/>
            </w:tcMar>
          </w:tcPr>
          <w:p>
            <w:pPr>
              <w:spacing w:after="0"/>
            </w:pPr>
            <w:r>
              <w:rPr>
                <w:rFonts w:ascii="Aptos" w:hAnsi="Aptos"/>
                <w:sz w:val="16"/>
              </w:rPr>
              <w:t>Chef de projet SI</w:t>
            </w:r>
          </w:p>
        </w:tc>
        <w:tc>
          <w:tcPr>
            <w:tcW w:type="dxa" w:w="1728"/>
            <w:vAlign w:val="center"/>
            <w:tcMar>
              <w:top w:w="100" w:type="dxa"/>
              <w:start w:w="100" w:type="dxa"/>
              <w:bottom w:w="100" w:type="dxa"/>
              <w:end w:w="100" w:type="dxa"/>
            </w:tcMar>
          </w:tcPr>
          <w:p>
            <w:pPr>
              <w:spacing w:after="0"/>
            </w:pPr>
            <w:r>
              <w:rPr>
                <w:rFonts w:ascii="Aptos" w:hAnsi="Aptos"/>
                <w:sz w:val="16"/>
              </w:rPr>
              <w:t>30 nov. 2026</w:t>
            </w:r>
          </w:p>
        </w:tc>
        <w:tc>
          <w:tcPr>
            <w:tcW w:type="dxa" w:w="2880"/>
            <w:vAlign w:val="center"/>
            <w:tcMar>
              <w:top w:w="100" w:type="dxa"/>
              <w:start w:w="100" w:type="dxa"/>
              <w:bottom w:w="100" w:type="dxa"/>
              <w:end w:w="100" w:type="dxa"/>
            </w:tcMar>
          </w:tcPr>
          <w:p>
            <w:pPr>
              <w:spacing w:after="0"/>
            </w:pPr>
            <w:r>
              <w:rPr>
                <w:rFonts w:ascii="Aptos" w:hAnsi="Aptos"/>
                <w:sz w:val="16"/>
              </w:rPr>
              <w:t>PV de recette et rapport de tests.</w:t>
            </w:r>
          </w:p>
        </w:tc>
      </w:tr>
      <w:tr>
        <w:tc>
          <w:tcPr>
            <w:tcW w:type="dxa" w:w="4608"/>
            <w:vAlign w:val="center"/>
            <w:tcMar>
              <w:top w:w="100" w:type="dxa"/>
              <w:start w:w="100" w:type="dxa"/>
              <w:bottom w:w="100" w:type="dxa"/>
              <w:end w:w="100" w:type="dxa"/>
            </w:tcMar>
          </w:tcPr>
          <w:p>
            <w:pPr>
              <w:spacing w:after="0"/>
            </w:pPr>
            <w:r>
              <w:rPr>
                <w:rFonts w:ascii="Aptos" w:hAnsi="Aptos"/>
                <w:sz w:val="16"/>
              </w:rPr>
              <w:t>Réviser les procédures opérationnelles et simplifier les visas.</w:t>
            </w:r>
          </w:p>
        </w:tc>
        <w:tc>
          <w:tcPr>
            <w:tcW w:type="dxa" w:w="2016"/>
            <w:vAlign w:val="center"/>
            <w:tcMar>
              <w:top w:w="100" w:type="dxa"/>
              <w:start w:w="100" w:type="dxa"/>
              <w:bottom w:w="100" w:type="dxa"/>
              <w:end w:w="100" w:type="dxa"/>
            </w:tcMar>
          </w:tcPr>
          <w:p>
            <w:pPr>
              <w:spacing w:after="0"/>
            </w:pPr>
            <w:r>
              <w:rPr>
                <w:rFonts w:ascii="Aptos" w:hAnsi="Aptos"/>
                <w:sz w:val="16"/>
              </w:rPr>
              <w:t>Direction des opérations</w:t>
            </w:r>
          </w:p>
        </w:tc>
        <w:tc>
          <w:tcPr>
            <w:tcW w:type="dxa" w:w="1728"/>
            <w:vAlign w:val="center"/>
            <w:tcMar>
              <w:top w:w="100" w:type="dxa"/>
              <w:start w:w="100" w:type="dxa"/>
              <w:bottom w:w="100" w:type="dxa"/>
              <w:end w:w="100" w:type="dxa"/>
            </w:tcMar>
          </w:tcPr>
          <w:p>
            <w:pPr>
              <w:spacing w:after="0"/>
            </w:pPr>
            <w:r>
              <w:rPr>
                <w:rFonts w:ascii="Aptos" w:hAnsi="Aptos"/>
                <w:sz w:val="16"/>
              </w:rPr>
              <w:t>31 déc. 2026</w:t>
            </w:r>
          </w:p>
        </w:tc>
        <w:tc>
          <w:tcPr>
            <w:tcW w:type="dxa" w:w="2880"/>
            <w:vAlign w:val="center"/>
            <w:tcMar>
              <w:top w:w="100" w:type="dxa"/>
              <w:start w:w="100" w:type="dxa"/>
              <w:bottom w:w="100" w:type="dxa"/>
              <w:end w:w="100" w:type="dxa"/>
            </w:tcMar>
          </w:tcPr>
          <w:p>
            <w:pPr>
              <w:spacing w:after="0"/>
            </w:pPr>
            <w:r>
              <w:rPr>
                <w:rFonts w:ascii="Aptos" w:hAnsi="Aptos"/>
                <w:sz w:val="16"/>
              </w:rPr>
              <w:t>Manuel révisé et note de diffusion.</w:t>
            </w:r>
          </w:p>
        </w:tc>
      </w:tr>
    </w:tbl>
    <w:p/>
    <w:tbl>
      <w:tblPr>
        <w:tblW w:type="auto" w:w="0"/>
        <w:jc w:val="center"/>
        <w:tblLook w:firstColumn="1" w:firstRow="1" w:lastColumn="0" w:lastRow="0" w:noHBand="0" w:noVBand="1" w:val="04A0"/>
      </w:tblPr>
      <w:tblGrid>
        <w:gridCol w:w="10080"/>
      </w:tblGrid>
      <w:tr>
        <w:trPr>
          <w:cantSplit/>
        </w:trPr>
        <w:tc>
          <w:tcPr>
            <w:tcW w:type="dxa" w:w="10080"/>
            <w:shd w:fill="FFF2CC"/>
            <w:tcMar>
              <w:top w:w="140" w:type="dxa"/>
              <w:start w:w="160" w:type="dxa"/>
              <w:bottom w:w="140" w:type="dxa"/>
              <w:end w:w="160" w:type="dxa"/>
            </w:tcMar>
          </w:tcPr>
          <w:p>
            <w:r>
              <w:rPr>
                <w:b/>
                <w:color w:val="1F4E79"/>
                <w:sz w:val="21"/>
              </w:rPr>
              <w:t xml:space="preserve">Point juridique  </w:t>
            </w:r>
            <w:r>
              <w:rPr>
                <w:sz w:val="21"/>
              </w:rPr>
              <w:t>Les modalités exactes de restructuration des marchés, de gel ou réallocation de crédits doivent être vérifiées au regard du droit budgétaire et de la commande publique applicables à l’entité concernée. Le cas illustre une logique de décision, pas une autorisation juridique générale.</w:t>
            </w:r>
          </w:p>
        </w:tc>
      </w:tr>
    </w:tbl>
    <w:p/>
    <w:p>
      <w:pPr>
        <w:pStyle w:val="Heading1"/>
        <w:keepNext/>
      </w:pPr>
      <w:r>
        <w:t>9. Check-lists opérationnelles</w:t>
      </w:r>
    </w:p>
    <w:p>
      <w:pPr>
        <w:pStyle w:val="Heading2"/>
        <w:keepNext/>
      </w:pPr>
      <w:r>
        <w:t>9.1 Avant de valider un PAP</w:t>
      </w:r>
    </w:p>
    <w:p>
      <w:pPr>
        <w:pStyle w:val="ListBullet"/>
      </w:pPr>
      <w:r>
        <w:t>Le problème public, les bénéficiaires et la baseline sont explicitement documentés.</w:t>
      </w:r>
    </w:p>
    <w:p>
      <w:pPr>
        <w:pStyle w:val="ListBullet"/>
      </w:pPr>
      <w:r>
        <w:t>Chaque objectif possède au moins un indicateur réellement décisionnel, avec formule et source.</w:t>
      </w:r>
    </w:p>
    <w:p>
      <w:pPr>
        <w:pStyle w:val="ListBullet"/>
      </w:pPr>
      <w:r>
        <w:t>Les cibles sont reliées aux ressources et aux capacités disponibles.</w:t>
      </w:r>
    </w:p>
    <w:p>
      <w:pPr>
        <w:pStyle w:val="ListBullet"/>
      </w:pPr>
      <w:r>
        <w:t>Les risques critiques disposent de KRI et de seuils d’alerte.</w:t>
      </w:r>
    </w:p>
    <w:p>
      <w:pPr>
        <w:pStyle w:val="ListBullet"/>
      </w:pPr>
      <w:r>
        <w:t>Les responsabilités de production, validation et arbitrage sont nominativement définies.</w:t>
      </w:r>
    </w:p>
    <w:p>
      <w:pPr>
        <w:pStyle w:val="ListBullet"/>
      </w:pPr>
      <w:r>
        <w:t>Les hypothèses externes majeures sont documentées.</w:t>
      </w:r>
    </w:p>
    <w:p>
      <w:pPr>
        <w:pStyle w:val="ListBullet"/>
      </w:pPr>
      <w:r>
        <w:t>Les données nécessaires existent ou un plan de production de données est prévu.</w:t>
      </w:r>
    </w:p>
    <w:p>
      <w:pPr>
        <w:pStyle w:val="Heading2"/>
        <w:keepNext/>
      </w:pPr>
      <w:r>
        <w:t>9.2 Avant une revue trimestrielle</w:t>
      </w:r>
    </w:p>
    <w:p>
      <w:pPr>
        <w:pStyle w:val="ListBullet"/>
      </w:pPr>
      <w:r>
        <w:t>La scorecard distingue résultat, risque, tendance et qualité de la preuve.</w:t>
      </w:r>
    </w:p>
    <w:p>
      <w:pPr>
        <w:pStyle w:val="ListBullet"/>
      </w:pPr>
      <w:r>
        <w:t>Les écarts sont calculés sur des définitions d’indicateurs stables.</w:t>
      </w:r>
    </w:p>
    <w:p>
      <w:pPr>
        <w:pStyle w:val="ListBullet"/>
      </w:pPr>
      <w:r>
        <w:t>Les causes avancées sont formulées comme hypothèses à tester, non comme verdicts.</w:t>
      </w:r>
    </w:p>
    <w:p>
      <w:pPr>
        <w:pStyle w:val="ListBullet"/>
      </w:pPr>
      <w:r>
        <w:t>Au moins deux options sont préparées lorsqu’un arbitrage est nécessaire.</w:t>
      </w:r>
    </w:p>
    <w:p>
      <w:pPr>
        <w:pStyle w:val="ListBullet"/>
      </w:pPr>
      <w:r>
        <w:t>Les décisions antérieures et leurs preuves de réalisation sont relues.</w:t>
      </w:r>
    </w:p>
    <w:p>
      <w:pPr>
        <w:pStyle w:val="ListBullet"/>
      </w:pPr>
      <w:r>
        <w:t>Les usages de l’IA ayant contribué à l’analyse sont tracés et vérifiés.</w:t>
      </w:r>
    </w:p>
    <w:p>
      <w:pPr>
        <w:pStyle w:val="Heading2"/>
        <w:keepNext/>
      </w:pPr>
      <w:r>
        <w:t>9.3 Dix questions que le président du comité devrait poser</w:t>
      </w:r>
    </w:p>
    <w:p>
      <w:pPr>
        <w:ind w:left="259" w:hanging="259"/>
      </w:pPr>
      <w:r>
        <w:rPr>
          <w:b/>
        </w:rPr>
        <w:t xml:space="preserve">1. </w:t>
      </w:r>
      <w:r>
        <w:t>Quel résultat devait changer, pour qui et de combien ?</w:t>
      </w:r>
    </w:p>
    <w:p>
      <w:pPr>
        <w:ind w:left="259" w:hanging="259"/>
      </w:pPr>
      <w:r>
        <w:rPr>
          <w:b/>
        </w:rPr>
        <w:t xml:space="preserve">2. </w:t>
      </w:r>
      <w:r>
        <w:t>Quel est l’écart exact entre cible et réalisation ?</w:t>
      </w:r>
    </w:p>
    <w:p>
      <w:pPr>
        <w:ind w:left="259" w:hanging="259"/>
      </w:pPr>
      <w:r>
        <w:rPr>
          <w:b/>
        </w:rPr>
        <w:t xml:space="preserve">3. </w:t>
      </w:r>
      <w:r>
        <w:t>Quelle est la source primaire de ce chiffre ?</w:t>
      </w:r>
    </w:p>
    <w:p>
      <w:pPr>
        <w:ind w:left="259" w:hanging="259"/>
      </w:pPr>
      <w:r>
        <w:rPr>
          <w:b/>
        </w:rPr>
        <w:t xml:space="preserve">4. </w:t>
      </w:r>
      <w:r>
        <w:t>Que savons-nous avec certitude et que supposons-nous encore ?</w:t>
      </w:r>
    </w:p>
    <w:p>
      <w:pPr>
        <w:ind w:left="259" w:hanging="259"/>
      </w:pPr>
      <w:r>
        <w:rPr>
          <w:b/>
        </w:rPr>
        <w:t xml:space="preserve">5. </w:t>
      </w:r>
      <w:r>
        <w:t>Quels risques expliquent ou menacent le résultat ?</w:t>
      </w:r>
    </w:p>
    <w:p>
      <w:pPr>
        <w:ind w:left="259" w:hanging="259"/>
      </w:pPr>
      <w:r>
        <w:rPr>
          <w:b/>
        </w:rPr>
        <w:t xml:space="preserve">6. </w:t>
      </w:r>
      <w:r>
        <w:t>Le problème vient-il d’une capacité, d’un processus, d’une ressource, d’un comportement ou d’un facteur externe ?</w:t>
      </w:r>
    </w:p>
    <w:p>
      <w:pPr>
        <w:ind w:left="259" w:hanging="259"/>
      </w:pPr>
      <w:r>
        <w:rPr>
          <w:b/>
        </w:rPr>
        <w:t xml:space="preserve">7. </w:t>
      </w:r>
      <w:r>
        <w:t>Quelles options avons-nous et quels sont leurs coûts, bénéfices, risques et dépendances ?</w:t>
      </w:r>
    </w:p>
    <w:p>
      <w:pPr>
        <w:ind w:left="259" w:hanging="259"/>
      </w:pPr>
      <w:r>
        <w:rPr>
          <w:b/>
        </w:rPr>
        <w:t xml:space="preserve">8. </w:t>
      </w:r>
      <w:r>
        <w:t>Quelle décision doit être prise aujourd’hui, et par quelle autorité ?</w:t>
      </w:r>
    </w:p>
    <w:p>
      <w:pPr>
        <w:ind w:left="259" w:hanging="259"/>
      </w:pPr>
      <w:r>
        <w:rPr>
          <w:b/>
        </w:rPr>
        <w:t xml:space="preserve">9. </w:t>
      </w:r>
      <w:r>
        <w:t>Qui est responsable de l’exécution, à quelle date et avec quelle preuve ?</w:t>
      </w:r>
    </w:p>
    <w:p>
      <w:pPr>
        <w:ind w:left="259" w:hanging="259"/>
      </w:pPr>
      <w:r>
        <w:rPr>
          <w:b/>
        </w:rPr>
        <w:t xml:space="preserve">10. </w:t>
      </w:r>
      <w:r>
        <w:t>Que devons-nous apprendre de cet écart pour le prochain cycle ?</w:t>
      </w:r>
    </w:p>
    <w:p>
      <w:pPr>
        <w:pStyle w:val="Heading1"/>
        <w:keepNext/>
      </w:pPr>
      <w:r>
        <w:t>10. Conclusion : vers une gouvernance de la performance fondée sur la capacité, la preuve et l’apprentissage</w:t>
      </w:r>
    </w:p>
    <w:p>
      <w:r>
        <w:t>La gouvernance moderne de la performance publique ne consiste pas à empiler des indicateurs. Elle consiste à construire un système dans lequel les objectifs sont reliés aux moyens, les résultats aux preuves, les écarts aux causes, les risques aux alertes, les décisions aux responsabilités et l’expérience aux apprentissages. Dans ce système, le budget-programme fournit l’architecture de responsabilité, les KPI et KRI donnent la visibilité, ICAP® vérifie la capacité d’exécuter, la revue trimestrielle transforme l’information en décision, et l’IA augmente la puissance analytique sans dissoudre la responsabilité humaine.</w:t>
      </w:r>
    </w:p>
    <w:tbl>
      <w:tblPr>
        <w:tblW w:type="auto" w:w="0"/>
        <w:jc w:val="center"/>
        <w:tblLook w:firstColumn="1" w:firstRow="1" w:lastColumn="0" w:lastRow="0" w:noHBand="0" w:noVBand="1" w:val="04A0"/>
      </w:tblPr>
      <w:tblGrid>
        <w:gridCol w:w="10080"/>
      </w:tblGrid>
      <w:tr>
        <w:trPr>
          <w:cantSplit/>
        </w:trPr>
        <w:tc>
          <w:tcPr>
            <w:tcW w:type="dxa" w:w="10080"/>
            <w:shd w:fill="E2F0D9"/>
            <w:tcMar>
              <w:top w:w="140" w:type="dxa"/>
              <w:start w:w="160" w:type="dxa"/>
              <w:bottom w:w="140" w:type="dxa"/>
              <w:end w:w="160" w:type="dxa"/>
            </w:tcMar>
          </w:tcPr>
          <w:p>
            <w:r>
              <w:rPr>
                <w:b/>
                <w:color w:val="1F4E79"/>
                <w:sz w:val="21"/>
              </w:rPr>
              <w:t xml:space="preserve">Formule de synthèse  </w:t>
            </w:r>
            <w:r>
              <w:rPr>
                <w:sz w:val="21"/>
              </w:rPr>
              <w:t>Performance publique = pertinence du mandat × capacité d’exécution × qualité de la preuve × qualité de l’arbitrage × capacité d’apprentissage. Cette formule est une représentation conceptuelle : un maillon faible peut dégrader fortement l’ensemble du système.</w:t>
            </w:r>
          </w:p>
        </w:tc>
      </w:tr>
    </w:tbl>
    <w:p/>
    <w:p>
      <w:pPr>
        <w:pStyle w:val="Heading2"/>
        <w:keepNext/>
      </w:pPr>
      <w:r>
        <w:t>Aide-mémoire — une page</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024"/>
            <w:shd w:fill="17365D"/>
            <w:vAlign w:val="center"/>
            <w:tcMar>
              <w:top w:w="120" w:type="dxa"/>
              <w:start w:w="110" w:type="dxa"/>
              <w:bottom w:w="120" w:type="dxa"/>
              <w:end w:w="110" w:type="dxa"/>
            </w:tcMar>
          </w:tcPr>
          <w:p>
            <w:pPr>
              <w:jc w:val="center"/>
            </w:pPr>
            <w:r>
              <w:rPr>
                <w:b/>
                <w:color w:val="FFFFFF"/>
                <w:sz w:val="17"/>
              </w:rPr>
              <w:t>Question</w:t>
            </w:r>
          </w:p>
        </w:tc>
        <w:tc>
          <w:tcPr>
            <w:tcW w:type="dxa" w:w="3600"/>
            <w:shd w:fill="17365D"/>
            <w:vAlign w:val="center"/>
            <w:tcMar>
              <w:top w:w="120" w:type="dxa"/>
              <w:start w:w="110" w:type="dxa"/>
              <w:bottom w:w="120" w:type="dxa"/>
              <w:end w:w="110" w:type="dxa"/>
            </w:tcMar>
          </w:tcPr>
          <w:p>
            <w:pPr>
              <w:jc w:val="center"/>
            </w:pPr>
            <w:r>
              <w:rPr>
                <w:b/>
                <w:color w:val="FFFFFF"/>
                <w:sz w:val="17"/>
              </w:rPr>
              <w:t>Instrument</w:t>
            </w:r>
          </w:p>
        </w:tc>
        <w:tc>
          <w:tcPr>
            <w:tcW w:type="dxa" w:w="4176"/>
            <w:shd w:fill="17365D"/>
            <w:vAlign w:val="center"/>
            <w:tcMar>
              <w:top w:w="120" w:type="dxa"/>
              <w:start w:w="110" w:type="dxa"/>
              <w:bottom w:w="120" w:type="dxa"/>
              <w:end w:w="110" w:type="dxa"/>
            </w:tcMar>
          </w:tcPr>
          <w:p>
            <w:pPr>
              <w:jc w:val="center"/>
            </w:pPr>
            <w:r>
              <w:rPr>
                <w:b/>
                <w:color w:val="FFFFFF"/>
                <w:sz w:val="17"/>
              </w:rPr>
              <w:t>Sortie attendue</w:t>
            </w:r>
          </w:p>
        </w:tc>
      </w:tr>
      <w:tr>
        <w:tc>
          <w:tcPr>
            <w:tcW w:type="dxa" w:w="3024"/>
            <w:vAlign w:val="center"/>
            <w:tcMar>
              <w:top w:w="100" w:type="dxa"/>
              <w:start w:w="100" w:type="dxa"/>
              <w:bottom w:w="100" w:type="dxa"/>
              <w:end w:w="100" w:type="dxa"/>
            </w:tcMar>
          </w:tcPr>
          <w:p>
            <w:pPr>
              <w:spacing w:after="0"/>
            </w:pPr>
            <w:r>
              <w:rPr>
                <w:rFonts w:ascii="Aptos" w:hAnsi="Aptos"/>
                <w:sz w:val="17"/>
              </w:rPr>
              <w:t>Que voulons-nous changer ?</w:t>
            </w:r>
          </w:p>
        </w:tc>
        <w:tc>
          <w:tcPr>
            <w:tcW w:type="dxa" w:w="3600"/>
            <w:vAlign w:val="center"/>
            <w:tcMar>
              <w:top w:w="100" w:type="dxa"/>
              <w:start w:w="100" w:type="dxa"/>
              <w:bottom w:w="100" w:type="dxa"/>
              <w:end w:w="100" w:type="dxa"/>
            </w:tcMar>
          </w:tcPr>
          <w:p>
            <w:pPr>
              <w:spacing w:after="0"/>
            </w:pPr>
            <w:r>
              <w:rPr>
                <w:rFonts w:ascii="Aptos" w:hAnsi="Aptos"/>
                <w:sz w:val="17"/>
              </w:rPr>
              <w:t>Mandat / stratégie / chaîne de résultats</w:t>
            </w:r>
          </w:p>
        </w:tc>
        <w:tc>
          <w:tcPr>
            <w:tcW w:type="dxa" w:w="4176"/>
            <w:vAlign w:val="center"/>
            <w:tcMar>
              <w:top w:w="100" w:type="dxa"/>
              <w:start w:w="100" w:type="dxa"/>
              <w:bottom w:w="100" w:type="dxa"/>
              <w:end w:w="100" w:type="dxa"/>
            </w:tcMar>
          </w:tcPr>
          <w:p>
            <w:pPr>
              <w:spacing w:after="0"/>
            </w:pPr>
            <w:r>
              <w:rPr>
                <w:rFonts w:ascii="Aptos" w:hAnsi="Aptos"/>
                <w:sz w:val="17"/>
              </w:rPr>
              <w:t>Objectifs et théorie d’action</w:t>
            </w:r>
          </w:p>
        </w:tc>
      </w:tr>
      <w:tr>
        <w:tc>
          <w:tcPr>
            <w:tcW w:type="dxa" w:w="3024"/>
            <w:vAlign w:val="center"/>
            <w:tcMar>
              <w:top w:w="100" w:type="dxa"/>
              <w:start w:w="100" w:type="dxa"/>
              <w:bottom w:w="100" w:type="dxa"/>
              <w:end w:w="100" w:type="dxa"/>
            </w:tcMar>
          </w:tcPr>
          <w:p>
            <w:pPr>
              <w:spacing w:after="0"/>
            </w:pPr>
            <w:r>
              <w:rPr>
                <w:rFonts w:ascii="Aptos" w:hAnsi="Aptos"/>
                <w:sz w:val="17"/>
              </w:rPr>
              <w:t>Avec quoi ?</w:t>
            </w:r>
          </w:p>
        </w:tc>
        <w:tc>
          <w:tcPr>
            <w:tcW w:type="dxa" w:w="3600"/>
            <w:vAlign w:val="center"/>
            <w:tcMar>
              <w:top w:w="100" w:type="dxa"/>
              <w:start w:w="100" w:type="dxa"/>
              <w:bottom w:w="100" w:type="dxa"/>
              <w:end w:w="100" w:type="dxa"/>
            </w:tcMar>
          </w:tcPr>
          <w:p>
            <w:pPr>
              <w:spacing w:after="0"/>
            </w:pPr>
            <w:r>
              <w:rPr>
                <w:rFonts w:ascii="Aptos" w:hAnsi="Aptos"/>
                <w:sz w:val="17"/>
              </w:rPr>
              <w:t>DPPD / PAP / ICAP®</w:t>
            </w:r>
          </w:p>
        </w:tc>
        <w:tc>
          <w:tcPr>
            <w:tcW w:type="dxa" w:w="4176"/>
            <w:vAlign w:val="center"/>
            <w:tcMar>
              <w:top w:w="100" w:type="dxa"/>
              <w:start w:w="100" w:type="dxa"/>
              <w:bottom w:w="100" w:type="dxa"/>
              <w:end w:w="100" w:type="dxa"/>
            </w:tcMar>
          </w:tcPr>
          <w:p>
            <w:pPr>
              <w:spacing w:after="0"/>
            </w:pPr>
            <w:r>
              <w:rPr>
                <w:rFonts w:ascii="Aptos" w:hAnsi="Aptos"/>
                <w:sz w:val="17"/>
              </w:rPr>
              <w:t>Ressources et capacités</w:t>
            </w:r>
          </w:p>
        </w:tc>
      </w:tr>
      <w:tr>
        <w:tc>
          <w:tcPr>
            <w:tcW w:type="dxa" w:w="3024"/>
            <w:vAlign w:val="center"/>
            <w:tcMar>
              <w:top w:w="100" w:type="dxa"/>
              <w:start w:w="100" w:type="dxa"/>
              <w:bottom w:w="100" w:type="dxa"/>
              <w:end w:w="100" w:type="dxa"/>
            </w:tcMar>
          </w:tcPr>
          <w:p>
            <w:pPr>
              <w:spacing w:after="0"/>
            </w:pPr>
            <w:r>
              <w:rPr>
                <w:rFonts w:ascii="Aptos" w:hAnsi="Aptos"/>
                <w:sz w:val="17"/>
              </w:rPr>
              <w:t>Comment le mesurer ?</w:t>
            </w:r>
          </w:p>
        </w:tc>
        <w:tc>
          <w:tcPr>
            <w:tcW w:type="dxa" w:w="3600"/>
            <w:vAlign w:val="center"/>
            <w:tcMar>
              <w:top w:w="100" w:type="dxa"/>
              <w:start w:w="100" w:type="dxa"/>
              <w:bottom w:w="100" w:type="dxa"/>
              <w:end w:w="100" w:type="dxa"/>
            </w:tcMar>
          </w:tcPr>
          <w:p>
            <w:pPr>
              <w:spacing w:after="0"/>
            </w:pPr>
            <w:r>
              <w:rPr>
                <w:rFonts w:ascii="Aptos" w:hAnsi="Aptos"/>
                <w:sz w:val="17"/>
              </w:rPr>
              <w:t>KPI / KRI / métadonnées</w:t>
            </w:r>
          </w:p>
        </w:tc>
        <w:tc>
          <w:tcPr>
            <w:tcW w:type="dxa" w:w="4176"/>
            <w:vAlign w:val="center"/>
            <w:tcMar>
              <w:top w:w="100" w:type="dxa"/>
              <w:start w:w="100" w:type="dxa"/>
              <w:bottom w:w="100" w:type="dxa"/>
              <w:end w:w="100" w:type="dxa"/>
            </w:tcMar>
          </w:tcPr>
          <w:p>
            <w:pPr>
              <w:spacing w:after="0"/>
            </w:pPr>
            <w:r>
              <w:rPr>
                <w:rFonts w:ascii="Aptos" w:hAnsi="Aptos"/>
                <w:sz w:val="17"/>
              </w:rPr>
              <w:t>Indicateurs auditables</w:t>
            </w:r>
          </w:p>
        </w:tc>
      </w:tr>
      <w:tr>
        <w:tc>
          <w:tcPr>
            <w:tcW w:type="dxa" w:w="3024"/>
            <w:vAlign w:val="center"/>
            <w:tcMar>
              <w:top w:w="100" w:type="dxa"/>
              <w:start w:w="100" w:type="dxa"/>
              <w:bottom w:w="100" w:type="dxa"/>
              <w:end w:w="100" w:type="dxa"/>
            </w:tcMar>
          </w:tcPr>
          <w:p>
            <w:pPr>
              <w:spacing w:after="0"/>
            </w:pPr>
            <w:r>
              <w:rPr>
                <w:rFonts w:ascii="Aptos" w:hAnsi="Aptos"/>
                <w:sz w:val="17"/>
              </w:rPr>
              <w:t>Quelle preuve ?</w:t>
            </w:r>
          </w:p>
        </w:tc>
        <w:tc>
          <w:tcPr>
            <w:tcW w:type="dxa" w:w="3600"/>
            <w:vAlign w:val="center"/>
            <w:tcMar>
              <w:top w:w="100" w:type="dxa"/>
              <w:start w:w="100" w:type="dxa"/>
              <w:bottom w:w="100" w:type="dxa"/>
              <w:end w:w="100" w:type="dxa"/>
            </w:tcMar>
          </w:tcPr>
          <w:p>
            <w:pPr>
              <w:spacing w:after="0"/>
            </w:pPr>
            <w:r>
              <w:rPr>
                <w:rFonts w:ascii="Aptos" w:hAnsi="Aptos"/>
                <w:sz w:val="17"/>
              </w:rPr>
              <w:t>Sources / contrôles / traçabilité</w:t>
            </w:r>
          </w:p>
        </w:tc>
        <w:tc>
          <w:tcPr>
            <w:tcW w:type="dxa" w:w="4176"/>
            <w:vAlign w:val="center"/>
            <w:tcMar>
              <w:top w:w="100" w:type="dxa"/>
              <w:start w:w="100" w:type="dxa"/>
              <w:bottom w:w="100" w:type="dxa"/>
              <w:end w:w="100" w:type="dxa"/>
            </w:tcMar>
          </w:tcPr>
          <w:p>
            <w:pPr>
              <w:spacing w:after="0"/>
            </w:pPr>
            <w:r>
              <w:rPr>
                <w:rFonts w:ascii="Aptos" w:hAnsi="Aptos"/>
                <w:sz w:val="17"/>
              </w:rPr>
              <w:t>Confiance dans l’information</w:t>
            </w:r>
          </w:p>
        </w:tc>
      </w:tr>
      <w:tr>
        <w:tc>
          <w:tcPr>
            <w:tcW w:type="dxa" w:w="3024"/>
            <w:vAlign w:val="center"/>
            <w:tcMar>
              <w:top w:w="100" w:type="dxa"/>
              <w:start w:w="100" w:type="dxa"/>
              <w:bottom w:w="100" w:type="dxa"/>
              <w:end w:w="100" w:type="dxa"/>
            </w:tcMar>
          </w:tcPr>
          <w:p>
            <w:pPr>
              <w:spacing w:after="0"/>
            </w:pPr>
            <w:r>
              <w:rPr>
                <w:rFonts w:ascii="Aptos" w:hAnsi="Aptos"/>
                <w:sz w:val="17"/>
              </w:rPr>
              <w:t>Pourquoi l’écart ?</w:t>
            </w:r>
          </w:p>
        </w:tc>
        <w:tc>
          <w:tcPr>
            <w:tcW w:type="dxa" w:w="3600"/>
            <w:vAlign w:val="center"/>
            <w:tcMar>
              <w:top w:w="100" w:type="dxa"/>
              <w:start w:w="100" w:type="dxa"/>
              <w:bottom w:w="100" w:type="dxa"/>
              <w:end w:w="100" w:type="dxa"/>
            </w:tcMar>
          </w:tcPr>
          <w:p>
            <w:pPr>
              <w:spacing w:after="0"/>
            </w:pPr>
            <w:r>
              <w:rPr>
                <w:rFonts w:ascii="Aptos" w:hAnsi="Aptos"/>
                <w:sz w:val="17"/>
              </w:rPr>
              <w:t>Analyse causale</w:t>
            </w:r>
          </w:p>
        </w:tc>
        <w:tc>
          <w:tcPr>
            <w:tcW w:type="dxa" w:w="4176"/>
            <w:vAlign w:val="center"/>
            <w:tcMar>
              <w:top w:w="100" w:type="dxa"/>
              <w:start w:w="100" w:type="dxa"/>
              <w:bottom w:w="100" w:type="dxa"/>
              <w:end w:w="100" w:type="dxa"/>
            </w:tcMar>
          </w:tcPr>
          <w:p>
            <w:pPr>
              <w:spacing w:after="0"/>
            </w:pPr>
            <w:r>
              <w:rPr>
                <w:rFonts w:ascii="Aptos" w:hAnsi="Aptos"/>
                <w:sz w:val="17"/>
              </w:rPr>
              <w:t>Cause(s) validée(s)</w:t>
            </w:r>
          </w:p>
        </w:tc>
      </w:tr>
      <w:tr>
        <w:tc>
          <w:tcPr>
            <w:tcW w:type="dxa" w:w="3024"/>
            <w:vAlign w:val="center"/>
            <w:tcMar>
              <w:top w:w="100" w:type="dxa"/>
              <w:start w:w="100" w:type="dxa"/>
              <w:bottom w:w="100" w:type="dxa"/>
              <w:end w:w="100" w:type="dxa"/>
            </w:tcMar>
          </w:tcPr>
          <w:p>
            <w:pPr>
              <w:spacing w:after="0"/>
            </w:pPr>
            <w:r>
              <w:rPr>
                <w:rFonts w:ascii="Aptos" w:hAnsi="Aptos"/>
                <w:sz w:val="17"/>
              </w:rPr>
              <w:t>Que décidons-nous ?</w:t>
            </w:r>
          </w:p>
        </w:tc>
        <w:tc>
          <w:tcPr>
            <w:tcW w:type="dxa" w:w="3600"/>
            <w:vAlign w:val="center"/>
            <w:tcMar>
              <w:top w:w="100" w:type="dxa"/>
              <w:start w:w="100" w:type="dxa"/>
              <w:bottom w:w="100" w:type="dxa"/>
              <w:end w:w="100" w:type="dxa"/>
            </w:tcMar>
          </w:tcPr>
          <w:p>
            <w:pPr>
              <w:spacing w:after="0"/>
            </w:pPr>
            <w:r>
              <w:rPr>
                <w:rFonts w:ascii="Aptos" w:hAnsi="Aptos"/>
                <w:sz w:val="17"/>
              </w:rPr>
              <w:t>Revue / registre de décisions</w:t>
            </w:r>
          </w:p>
        </w:tc>
        <w:tc>
          <w:tcPr>
            <w:tcW w:type="dxa" w:w="4176"/>
            <w:vAlign w:val="center"/>
            <w:tcMar>
              <w:top w:w="100" w:type="dxa"/>
              <w:start w:w="100" w:type="dxa"/>
              <w:bottom w:w="100" w:type="dxa"/>
              <w:end w:w="100" w:type="dxa"/>
            </w:tcMar>
          </w:tcPr>
          <w:p>
            <w:pPr>
              <w:spacing w:after="0"/>
            </w:pPr>
            <w:r>
              <w:rPr>
                <w:rFonts w:ascii="Aptos" w:hAnsi="Aptos"/>
                <w:sz w:val="17"/>
              </w:rPr>
              <w:t>Action, responsable, échéance</w:t>
            </w:r>
          </w:p>
        </w:tc>
      </w:tr>
      <w:tr>
        <w:tc>
          <w:tcPr>
            <w:tcW w:type="dxa" w:w="3024"/>
            <w:vAlign w:val="center"/>
            <w:tcMar>
              <w:top w:w="100" w:type="dxa"/>
              <w:start w:w="100" w:type="dxa"/>
              <w:bottom w:w="100" w:type="dxa"/>
              <w:end w:w="100" w:type="dxa"/>
            </w:tcMar>
          </w:tcPr>
          <w:p>
            <w:pPr>
              <w:spacing w:after="0"/>
            </w:pPr>
            <w:r>
              <w:rPr>
                <w:rFonts w:ascii="Aptos" w:hAnsi="Aptos"/>
                <w:sz w:val="17"/>
              </w:rPr>
              <w:t>Que fait l’IA ?</w:t>
            </w:r>
          </w:p>
        </w:tc>
        <w:tc>
          <w:tcPr>
            <w:tcW w:type="dxa" w:w="3600"/>
            <w:vAlign w:val="center"/>
            <w:tcMar>
              <w:top w:w="100" w:type="dxa"/>
              <w:start w:w="100" w:type="dxa"/>
              <w:bottom w:w="100" w:type="dxa"/>
              <w:end w:w="100" w:type="dxa"/>
            </w:tcMar>
          </w:tcPr>
          <w:p>
            <w:pPr>
              <w:spacing w:after="0"/>
            </w:pPr>
            <w:r>
              <w:rPr>
                <w:rFonts w:ascii="Aptos" w:hAnsi="Aptos"/>
                <w:sz w:val="17"/>
              </w:rPr>
              <w:t>Matrice de délégation / journal IA</w:t>
            </w:r>
          </w:p>
        </w:tc>
        <w:tc>
          <w:tcPr>
            <w:tcW w:type="dxa" w:w="4176"/>
            <w:vAlign w:val="center"/>
            <w:tcMar>
              <w:top w:w="100" w:type="dxa"/>
              <w:start w:w="100" w:type="dxa"/>
              <w:bottom w:w="100" w:type="dxa"/>
              <w:end w:w="100" w:type="dxa"/>
            </w:tcMar>
          </w:tcPr>
          <w:p>
            <w:pPr>
              <w:spacing w:after="0"/>
            </w:pPr>
            <w:r>
              <w:rPr>
                <w:rFonts w:ascii="Aptos" w:hAnsi="Aptos"/>
                <w:sz w:val="17"/>
              </w:rPr>
              <w:t>Assistance traçable, validation humaine</w:t>
            </w:r>
          </w:p>
        </w:tc>
      </w:tr>
      <w:tr>
        <w:tc>
          <w:tcPr>
            <w:tcW w:type="dxa" w:w="3024"/>
            <w:vAlign w:val="center"/>
            <w:tcMar>
              <w:top w:w="100" w:type="dxa"/>
              <w:start w:w="100" w:type="dxa"/>
              <w:bottom w:w="100" w:type="dxa"/>
              <w:end w:w="100" w:type="dxa"/>
            </w:tcMar>
          </w:tcPr>
          <w:p>
            <w:pPr>
              <w:spacing w:after="0"/>
            </w:pPr>
            <w:r>
              <w:rPr>
                <w:rFonts w:ascii="Aptos" w:hAnsi="Aptos"/>
                <w:sz w:val="17"/>
              </w:rPr>
              <w:t>Qu’apprenons-nous ?</w:t>
            </w:r>
          </w:p>
        </w:tc>
        <w:tc>
          <w:tcPr>
            <w:tcW w:type="dxa" w:w="3600"/>
            <w:vAlign w:val="center"/>
            <w:tcMar>
              <w:top w:w="100" w:type="dxa"/>
              <w:start w:w="100" w:type="dxa"/>
              <w:bottom w:w="100" w:type="dxa"/>
              <w:end w:w="100" w:type="dxa"/>
            </w:tcMar>
          </w:tcPr>
          <w:p>
            <w:pPr>
              <w:spacing w:after="0"/>
            </w:pPr>
            <w:r>
              <w:rPr>
                <w:rFonts w:ascii="Aptos" w:hAnsi="Aptos"/>
                <w:sz w:val="17"/>
              </w:rPr>
              <w:t>RAP / RETEX / cycle N+1</w:t>
            </w:r>
          </w:p>
        </w:tc>
        <w:tc>
          <w:tcPr>
            <w:tcW w:type="dxa" w:w="4176"/>
            <w:vAlign w:val="center"/>
            <w:tcMar>
              <w:top w:w="100" w:type="dxa"/>
              <w:start w:w="100" w:type="dxa"/>
              <w:bottom w:w="100" w:type="dxa"/>
              <w:end w:w="100" w:type="dxa"/>
            </w:tcMar>
          </w:tcPr>
          <w:p>
            <w:pPr>
              <w:spacing w:after="0"/>
            </w:pPr>
            <w:r>
              <w:rPr>
                <w:rFonts w:ascii="Aptos" w:hAnsi="Aptos"/>
                <w:sz w:val="17"/>
              </w:rPr>
              <w:t>Ajustements et capitalisation</w:t>
            </w:r>
          </w:p>
        </w:tc>
      </w:tr>
    </w:tbl>
    <w:p/>
    <w:p>
      <w:pPr>
        <w:jc w:val="center"/>
      </w:pPr>
      <w:r>
        <w:rPr>
          <w:b/>
          <w:color w:val="17365D"/>
        </w:rPr>
        <w:t>Fin du guide</w:t>
      </w:r>
    </w:p>
    <w:sectPr w:rsidR="00FC693F" w:rsidRPr="0006063C" w:rsidSect="00034616">
      <w:footerReference w:type="default" r:id="rId13"/>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6"/>
      </w:rPr>
      <w:t xml:space="preserve">MissionPro — Gouvernance de la performance publique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2F5597"/>
      <w:sz w:val="28"/>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Display" w:hAnsi="Aptos Display"/>
      <w:b/>
      <w:bCs/>
      <w:color w:val="5B9BD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Aptos Display" w:hAnsi="Aptos Display"/>
      <w:b/>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i/>
      <w:color w:val="595959"/>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Gouverner la performance publique à l’ère de l’intelligence artificielle</dc:title>
  <dc:subject>Guide de synthèse approfondi</dc:subject>
  <dc:creator>Dr Abdou Karim Gueye / MissionPro</dc:creator>
  <cp:keywords/>
  <dc:description>generated by python-docx</dc:description>
  <cp:lastModifiedBy/>
  <cp:revision>1</cp:revision>
  <dcterms:created xsi:type="dcterms:W3CDTF">2013-12-23T23:15:00Z</dcterms:created>
  <dcterms:modified xsi:type="dcterms:W3CDTF">2013-12-23T23:15:00Z</dcterms:modified>
  <cp:category/>
</cp:coreProperties>
</file>