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07C89"/>
          <w:sz w:val="28"/>
        </w:rPr>
        <w:t>MissionPro Executive Workshop</w:t>
      </w:r>
    </w:p>
    <w:p>
      <w:pPr>
        <w:jc w:val="center"/>
      </w:pPr>
      <w:r>
        <w:rPr>
          <w:b/>
          <w:color w:val="0B2A5B"/>
          <w:sz w:val="52"/>
        </w:rPr>
        <w:t>PROMPT PACK &amp; CHARTE IA</w:t>
      </w:r>
    </w:p>
    <w:p>
      <w:pPr>
        <w:jc w:val="center"/>
      </w:pPr>
      <w:r>
        <w:rPr>
          <w:color w:val="666666"/>
          <w:sz w:val="26"/>
        </w:rPr>
        <w:t>Bureau augmenté — prompts, workflows et règles de gouvernance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shd w:fill="EAF4F6"/>
            <w:vAlign w:val="center"/>
          </w:tcPr>
          <w:p>
            <w:pPr>
              <w:spacing w:after="0"/>
            </w:pPr>
            <w:r/>
            <w:r>
              <w:rPr>
                <w:b/>
                <w:color w:val="0B2A5B"/>
                <w:sz w:val="22"/>
              </w:rPr>
              <w:t>À utiliser avec ChatGPT Work, Gemini Spark ou tout environnement agentique autorisé par l’organisation.</w:t>
            </w:r>
          </w:p>
        </w:tc>
      </w:tr>
    </w:tbl>
    <w:p>
      <w:r>
        <w:br w:type="page"/>
      </w:r>
    </w:p>
    <w:p>
      <w:pPr>
        <w:pStyle w:val="Heading1"/>
      </w:pPr>
      <w:r>
        <w:t>1. Prompts de diagnostic</w:t>
      </w:r>
    </w:p>
    <w:p>
      <w:pPr>
        <w:pStyle w:val="Heading2"/>
      </w:pPr>
      <w:r>
        <w:t>Cartographier ma journée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shd w:fill="EAF4F6"/>
            <w:vAlign w:val="center"/>
          </w:tcPr>
          <w:p>
            <w:pPr>
              <w:spacing w:after="0"/>
            </w:pPr>
            <w:r/>
            <w:r>
              <w:rPr>
                <w:b/>
                <w:color w:val="0B2A5B"/>
                <w:sz w:val="20"/>
              </w:rPr>
              <w:t>Analyse la journée de travail suivante. Classe chaque activité en Supprimer, Automatiser, Augmenter ou Préserver. Propose un gain de temps possible et les risques de délégation.</w:t>
            </w:r>
          </w:p>
        </w:tc>
      </w:tr>
    </w:tbl>
    <w:p/>
    <w:p>
      <w:pPr>
        <w:pStyle w:val="Heading2"/>
      </w:pPr>
      <w:r>
        <w:t>Préparer un brief du matin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shd w:fill="EAF4F6"/>
            <w:vAlign w:val="center"/>
          </w:tcPr>
          <w:p>
            <w:pPr>
              <w:spacing w:after="0"/>
            </w:pPr>
            <w:r/>
            <w:r>
              <w:rPr>
                <w:b/>
                <w:color w:val="0B2A5B"/>
                <w:sz w:val="20"/>
              </w:rPr>
              <w:t>À partir des informations disponibles, prépare un brief exécutif : décisions requises, échéances, risques, dossiers à surveiller, actions de suivi.</w:t>
            </w:r>
          </w:p>
        </w:tc>
      </w:tr>
    </w:tbl>
    <w:p/>
    <w:p>
      <w:pPr>
        <w:pStyle w:val="Heading2"/>
      </w:pPr>
      <w:r>
        <w:t>Transformer un dossier en note de décision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shd w:fill="EAF4F6"/>
            <w:vAlign w:val="center"/>
          </w:tcPr>
          <w:p>
            <w:pPr>
              <w:spacing w:after="0"/>
            </w:pPr>
            <w:r/>
            <w:r>
              <w:rPr>
                <w:b/>
                <w:color w:val="0B2A5B"/>
                <w:sz w:val="20"/>
              </w:rPr>
              <w:t>À partir de ces documents, produis une note structurée : contexte, faits établis, options, risques, décision attendue, prochaines étapes.</w:t>
            </w:r>
          </w:p>
        </w:tc>
      </w:tr>
    </w:tbl>
    <w:p/>
    <w:p>
      <w:pPr>
        <w:pStyle w:val="Heading2"/>
      </w:pPr>
      <w:r>
        <w:t>Préparer une réunion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shd w:fill="EAF4F6"/>
            <w:vAlign w:val="center"/>
          </w:tcPr>
          <w:p>
            <w:pPr>
              <w:spacing w:after="0"/>
            </w:pPr>
            <w:r/>
            <w:r>
              <w:rPr>
                <w:b/>
                <w:color w:val="0B2A5B"/>
                <w:sz w:val="20"/>
              </w:rPr>
              <w:t>Prépare la réunion suivante : objectif, participants, documents à lire, décisions antérieures, questions critiques, décisions à obtenir.</w:t>
            </w:r>
          </w:p>
        </w:tc>
      </w:tr>
    </w:tbl>
    <w:p/>
    <w:p>
      <w:pPr>
        <w:pStyle w:val="Heading2"/>
      </w:pPr>
      <w:r>
        <w:t>Consolider des documents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shd w:fill="EAF4F6"/>
            <w:vAlign w:val="center"/>
          </w:tcPr>
          <w:p>
            <w:pPr>
              <w:spacing w:after="0"/>
            </w:pPr>
            <w:r/>
            <w:r>
              <w:rPr>
                <w:b/>
                <w:color w:val="0B2A5B"/>
                <w:sz w:val="20"/>
              </w:rPr>
              <w:t>Compare ces versions, repère les différences substantielles, propose une version consolidée et signale les points qui exigent arbitrage.</w:t>
            </w:r>
          </w:p>
        </w:tc>
      </w:tr>
    </w:tbl>
    <w:p/>
    <w:p>
      <w:pPr>
        <w:pStyle w:val="Heading2"/>
      </w:pPr>
      <w:r>
        <w:t>Suivre les engagements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shd w:fill="EAF4F6"/>
            <w:vAlign w:val="center"/>
          </w:tcPr>
          <w:p>
            <w:pPr>
              <w:spacing w:after="0"/>
            </w:pPr>
            <w:r/>
            <w:r>
              <w:rPr>
                <w:b/>
                <w:color w:val="0B2A5B"/>
                <w:sz w:val="20"/>
              </w:rPr>
              <w:t>Transforme ce compte rendu en tableau d’actions : action, responsable, échéance, dépendance, risque, prochain contrôle.</w:t>
            </w:r>
          </w:p>
        </w:tc>
      </w:tr>
    </w:tbl>
    <w:p/>
    <w:p>
      <w:pPr>
        <w:pStyle w:val="Heading2"/>
      </w:pPr>
      <w:r>
        <w:t>Créer un workflow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shd w:fill="EAF4F6"/>
            <w:vAlign w:val="center"/>
          </w:tcPr>
          <w:p>
            <w:pPr>
              <w:spacing w:after="0"/>
            </w:pPr>
            <w:r/>
            <w:r>
              <w:rPr>
                <w:b/>
                <w:color w:val="0B2A5B"/>
                <w:sz w:val="20"/>
              </w:rPr>
              <w:t>À partir de cette routine, décris un workflow reproductible : déclencheur, sources, étapes IA, contrôle humain, livrable, indicateur de succès.</w:t>
            </w:r>
          </w:p>
        </w:tc>
      </w:tr>
    </w:tbl>
    <w:p/>
    <w:p>
      <w:pPr>
        <w:pStyle w:val="Heading2"/>
      </w:pPr>
      <w:r>
        <w:t>Veille ciblée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shd w:fill="EAF4F6"/>
            <w:vAlign w:val="center"/>
          </w:tcPr>
          <w:p>
            <w:pPr>
              <w:spacing w:after="0"/>
            </w:pPr>
            <w:r/>
            <w:r>
              <w:rPr>
                <w:b/>
                <w:color w:val="0B2A5B"/>
                <w:sz w:val="20"/>
              </w:rPr>
              <w:t>Surveille ce thème selon les critères suivants et ne remonte que les changements ayant une conséquence décisionnelle ou opérationnelle.</w:t>
            </w:r>
          </w:p>
        </w:tc>
      </w:tr>
    </w:tbl>
    <w:p/>
    <w:p>
      <w:pPr>
        <w:pStyle w:val="Heading1"/>
      </w:pPr>
      <w:r>
        <w:t>2. Charte IA du bureau augmenté</w:t>
      </w:r>
    </w:p>
    <w:p>
      <w:pPr>
        <w:pStyle w:val="ListNumber"/>
      </w:pPr>
      <w:r>
        <w:t>L’IA prépare ; l’humain décide.</w:t>
      </w:r>
    </w:p>
    <w:p>
      <w:pPr>
        <w:pStyle w:val="ListNumber"/>
      </w:pPr>
      <w:r>
        <w:t>Aucune donnée sensible ne doit être utilisée dans un environnement non autorisé.</w:t>
      </w:r>
    </w:p>
    <w:p>
      <w:pPr>
        <w:pStyle w:val="ListNumber"/>
      </w:pPr>
      <w:r>
        <w:t>Tout livrable engageant doit être relu, contextualisé et validé.</w:t>
      </w:r>
    </w:p>
    <w:p>
      <w:pPr>
        <w:pStyle w:val="ListNumber"/>
      </w:pPr>
      <w:r>
        <w:t>Les workflows doivent être documentés avant d’être généralisés.</w:t>
      </w:r>
    </w:p>
    <w:p>
      <w:pPr>
        <w:pStyle w:val="ListNumber"/>
      </w:pPr>
      <w:r>
        <w:t>La simplification précède l’automatisation.</w:t>
      </w:r>
    </w:p>
    <w:p>
      <w:pPr>
        <w:pStyle w:val="ListNumber"/>
      </w:pPr>
      <w:r>
        <w:t>Les erreurs, limites et incertitudes doivent être signalées.</w:t>
      </w:r>
    </w:p>
    <w:p>
      <w:pPr>
        <w:pStyle w:val="ListNumber"/>
      </w:pPr>
      <w:r>
        <w:t>La traçabilité des sources et décisions doit être conservée.</w:t>
      </w:r>
    </w:p>
    <w:p>
      <w:pPr>
        <w:pStyle w:val="ListNumber"/>
      </w:pPr>
      <w:r>
        <w:t>Les usages doivent respecter les règles de l’organisation et la réglementation applicable.</w:t>
      </w:r>
    </w:p>
    <w:p>
      <w:pPr>
        <w:pStyle w:val="Heading1"/>
      </w:pPr>
      <w:r>
        <w:t>3. Plan 30 jours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c>
          <w:tcPr>
            <w:tcW w:type="dxa" w:w="1728"/>
            <w:vAlign w:val="center"/>
            <w:shd w:fill="0B2A5B"/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Horizon</w:t>
            </w:r>
          </w:p>
        </w:tc>
        <w:tc>
          <w:tcPr>
            <w:tcW w:type="dxa" w:w="2448"/>
            <w:vAlign w:val="center"/>
            <w:shd w:fill="0B2A5B"/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Priorité</w:t>
            </w:r>
          </w:p>
        </w:tc>
        <w:tc>
          <w:tcPr>
            <w:tcW w:type="dxa" w:w="6048"/>
            <w:vAlign w:val="center"/>
            <w:shd w:fill="0B2A5B"/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Action</w:t>
            </w:r>
          </w:p>
        </w:tc>
      </w:tr>
      <w:tr>
        <w:tc>
          <w:tcPr>
            <w:tcW w:type="dxa" w:w="1728"/>
            <w:vAlign w:val="center"/>
            <w:shd w:fill="F7FBFC"/>
          </w:tcPr>
          <w:p>
            <w:pPr>
              <w:spacing w:after="0"/>
            </w:pPr>
            <w:r/>
            <w:r>
              <w:rPr>
                <w:b w:val="0"/>
                <w:color w:val="222222"/>
                <w:sz w:val="17"/>
              </w:rPr>
              <w:t>J+7</w:t>
            </w:r>
          </w:p>
        </w:tc>
        <w:tc>
          <w:tcPr>
            <w:tcW w:type="dxa" w:w="2448"/>
            <w:vAlign w:val="center"/>
            <w:shd w:fill="F7FBFC"/>
          </w:tcPr>
          <w:p>
            <w:pPr>
              <w:spacing w:after="0"/>
            </w:pPr>
            <w:r/>
            <w:r>
              <w:rPr>
                <w:b w:val="0"/>
                <w:color w:val="222222"/>
                <w:sz w:val="17"/>
              </w:rPr>
              <w:t>Diagnostic</w:t>
            </w:r>
          </w:p>
        </w:tc>
        <w:tc>
          <w:tcPr>
            <w:tcW w:type="dxa" w:w="6048"/>
            <w:vAlign w:val="center"/>
            <w:shd w:fill="F7FBFC"/>
          </w:tcPr>
          <w:p>
            <w:pPr>
              <w:spacing w:after="0"/>
            </w:pPr>
            <w:r/>
            <w:r>
              <w:rPr>
                <w:b w:val="0"/>
                <w:color w:val="222222"/>
                <w:sz w:val="17"/>
              </w:rPr>
              <w:t>Identifier 10 routines et choisir les 3 plus coûteuses</w:t>
            </w:r>
          </w:p>
        </w:tc>
      </w:tr>
      <w:tr>
        <w:tc>
          <w:tcPr>
            <w:tcW w:type="dxa" w:w="1728"/>
            <w:vAlign w:val="center"/>
          </w:tcPr>
          <w:p>
            <w:pPr>
              <w:spacing w:after="0"/>
            </w:pPr>
            <w:r/>
            <w:r>
              <w:rPr>
                <w:b w:val="0"/>
                <w:color w:val="222222"/>
                <w:sz w:val="17"/>
              </w:rPr>
              <w:t>J+14</w:t>
            </w:r>
          </w:p>
        </w:tc>
        <w:tc>
          <w:tcPr>
            <w:tcW w:type="dxa" w:w="2448"/>
            <w:vAlign w:val="center"/>
          </w:tcPr>
          <w:p>
            <w:pPr>
              <w:spacing w:after="0"/>
            </w:pPr>
            <w:r/>
            <w:r>
              <w:rPr>
                <w:b w:val="0"/>
                <w:color w:val="222222"/>
                <w:sz w:val="17"/>
              </w:rPr>
              <w:t>Expérimentation</w:t>
            </w:r>
          </w:p>
        </w:tc>
        <w:tc>
          <w:tcPr>
            <w:tcW w:type="dxa" w:w="6048"/>
            <w:vAlign w:val="center"/>
          </w:tcPr>
          <w:p>
            <w:pPr>
              <w:spacing w:after="0"/>
            </w:pPr>
            <w:r/>
            <w:r>
              <w:rPr>
                <w:b w:val="0"/>
                <w:color w:val="222222"/>
                <w:sz w:val="17"/>
              </w:rPr>
              <w:t>Tester 3 prompts et 1 workflow sur un cas réel</w:t>
            </w:r>
          </w:p>
        </w:tc>
      </w:tr>
      <w:tr>
        <w:tc>
          <w:tcPr>
            <w:tcW w:type="dxa" w:w="1728"/>
            <w:vAlign w:val="center"/>
            <w:shd w:fill="F7FBFC"/>
          </w:tcPr>
          <w:p>
            <w:pPr>
              <w:spacing w:after="0"/>
            </w:pPr>
            <w:r/>
            <w:r>
              <w:rPr>
                <w:b w:val="0"/>
                <w:color w:val="222222"/>
                <w:sz w:val="17"/>
              </w:rPr>
              <w:t>J+21</w:t>
            </w:r>
          </w:p>
        </w:tc>
        <w:tc>
          <w:tcPr>
            <w:tcW w:type="dxa" w:w="2448"/>
            <w:vAlign w:val="center"/>
            <w:shd w:fill="F7FBFC"/>
          </w:tcPr>
          <w:p>
            <w:pPr>
              <w:spacing w:after="0"/>
            </w:pPr>
            <w:r/>
            <w:r>
              <w:rPr>
                <w:b w:val="0"/>
                <w:color w:val="222222"/>
                <w:sz w:val="17"/>
              </w:rPr>
              <w:t>Gouvernance</w:t>
            </w:r>
          </w:p>
        </w:tc>
        <w:tc>
          <w:tcPr>
            <w:tcW w:type="dxa" w:w="6048"/>
            <w:vAlign w:val="center"/>
            <w:shd w:fill="F7FBFC"/>
          </w:tcPr>
          <w:p>
            <w:pPr>
              <w:spacing w:after="0"/>
            </w:pPr>
            <w:r/>
            <w:r>
              <w:rPr>
                <w:b w:val="0"/>
                <w:color w:val="222222"/>
                <w:sz w:val="17"/>
              </w:rPr>
              <w:t>Valider les règles de sécurité, confidentialité et responsabilité</w:t>
            </w:r>
          </w:p>
        </w:tc>
      </w:tr>
      <w:tr>
        <w:tc>
          <w:tcPr>
            <w:tcW w:type="dxa" w:w="1728"/>
            <w:vAlign w:val="center"/>
          </w:tcPr>
          <w:p>
            <w:pPr>
              <w:spacing w:after="0"/>
            </w:pPr>
            <w:r/>
            <w:r>
              <w:rPr>
                <w:b w:val="0"/>
                <w:color w:val="222222"/>
                <w:sz w:val="17"/>
              </w:rPr>
              <w:t>J+30</w:t>
            </w:r>
          </w:p>
        </w:tc>
        <w:tc>
          <w:tcPr>
            <w:tcW w:type="dxa" w:w="2448"/>
            <w:vAlign w:val="center"/>
          </w:tcPr>
          <w:p>
            <w:pPr>
              <w:spacing w:after="0"/>
            </w:pPr>
            <w:r/>
            <w:r>
              <w:rPr>
                <w:b w:val="0"/>
                <w:color w:val="222222"/>
                <w:sz w:val="17"/>
              </w:rPr>
              <w:t>Déploiement</w:t>
            </w:r>
          </w:p>
        </w:tc>
        <w:tc>
          <w:tcPr>
            <w:tcW w:type="dxa" w:w="6048"/>
            <w:vAlign w:val="center"/>
          </w:tcPr>
          <w:p>
            <w:pPr>
              <w:spacing w:after="0"/>
            </w:pPr>
            <w:r/>
            <w:r>
              <w:rPr>
                <w:b w:val="0"/>
                <w:color w:val="222222"/>
                <w:sz w:val="17"/>
              </w:rPr>
              <w:t>Stabiliser un workflow et mesurer le gain obtenu</w:t>
            </w:r>
          </w:p>
        </w:tc>
      </w:tr>
    </w:tbl>
    <w:p/>
    <w:sectPr w:rsidR="00FC693F" w:rsidRPr="0006063C" w:rsidSect="00034616">
      <w:pgSz w:w="12240" w:h="15840"/>
      <w:pgMar w:top="792" w:right="893" w:bottom="792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0B2A5B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7C8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1F66B3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